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1350DD">
      <w:pPr>
        <w:jc w:val="center"/>
        <w:rPr>
          <w:rFonts w:hint="eastAsia" w:ascii="华文中宋" w:hAnsi="华文中宋" w:eastAsia="华文中宋"/>
          <w:b/>
          <w:sz w:val="36"/>
          <w:szCs w:val="36"/>
          <w:lang w:eastAsia="zh-CN"/>
        </w:rPr>
      </w:pPr>
      <w:r>
        <w:rPr>
          <w:rFonts w:hint="eastAsia" w:ascii="华文中宋" w:hAnsi="华文中宋" w:eastAsia="华文中宋"/>
          <w:b/>
          <w:sz w:val="36"/>
          <w:szCs w:val="36"/>
        </w:rPr>
        <w:t>课程安排</w:t>
      </w:r>
      <w:bookmarkStart w:id="0" w:name="_GoBack"/>
      <w:bookmarkEnd w:id="0"/>
    </w:p>
    <w:p w14:paraId="2B033A52">
      <w:pPr>
        <w:jc w:val="both"/>
        <w:rPr>
          <w:rFonts w:hint="eastAsia" w:ascii="仿宋_GB2312" w:hAnsi="华文中宋" w:eastAsia="仿宋_GB2312"/>
          <w:sz w:val="24"/>
          <w:szCs w:val="24"/>
        </w:rPr>
      </w:pPr>
    </w:p>
    <w:p w14:paraId="01A68BA7">
      <w:pPr>
        <w:jc w:val="both"/>
        <w:rPr>
          <w:rFonts w:hint="default" w:ascii="仿宋_GB2312" w:hAnsi="华文中宋" w:eastAsia="仿宋_GB2312"/>
          <w:sz w:val="24"/>
          <w:szCs w:val="24"/>
          <w:lang w:val="en-US" w:eastAsia="zh-CN"/>
        </w:rPr>
      </w:pPr>
      <w:r>
        <w:rPr>
          <w:rFonts w:hint="eastAsia" w:ascii="仿宋_GB2312" w:hAnsi="华文中宋" w:eastAsia="仿宋_GB2312"/>
          <w:sz w:val="24"/>
          <w:szCs w:val="24"/>
        </w:rPr>
        <w:t>培训地点：上海</w:t>
      </w:r>
      <w:r>
        <w:rPr>
          <w:rFonts w:hint="eastAsia" w:ascii="仿宋_GB2312" w:hAnsi="华文中宋" w:eastAsia="仿宋_GB2312"/>
          <w:sz w:val="24"/>
          <w:szCs w:val="24"/>
          <w:lang w:val="en-US" w:eastAsia="zh-CN"/>
        </w:rPr>
        <w:t>远洋宾馆 三层聚宾厅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8"/>
        <w:gridCol w:w="1375"/>
        <w:gridCol w:w="3749"/>
        <w:gridCol w:w="2093"/>
      </w:tblGrid>
      <w:tr w14:paraId="57C1F7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1178" w:type="dxa"/>
            <w:shd w:val="clear" w:color="000000" w:fill="D0CECE"/>
            <w:vAlign w:val="center"/>
          </w:tcPr>
          <w:p w14:paraId="0795839B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日期</w:t>
            </w:r>
          </w:p>
        </w:tc>
        <w:tc>
          <w:tcPr>
            <w:tcW w:w="1375" w:type="dxa"/>
            <w:shd w:val="clear" w:color="000000" w:fill="D0CECE"/>
            <w:vAlign w:val="center"/>
          </w:tcPr>
          <w:p w14:paraId="795760AE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时间</w:t>
            </w:r>
          </w:p>
        </w:tc>
        <w:tc>
          <w:tcPr>
            <w:tcW w:w="3749" w:type="dxa"/>
            <w:shd w:val="clear" w:color="000000" w:fill="D0CECE"/>
            <w:vAlign w:val="center"/>
          </w:tcPr>
          <w:p w14:paraId="7B11E4A4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培训内容</w:t>
            </w:r>
          </w:p>
        </w:tc>
        <w:tc>
          <w:tcPr>
            <w:tcW w:w="2093" w:type="dxa"/>
            <w:shd w:val="clear" w:color="000000" w:fill="D0CECE"/>
            <w:vAlign w:val="center"/>
          </w:tcPr>
          <w:p w14:paraId="2F312E5F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授课讲师</w:t>
            </w:r>
          </w:p>
        </w:tc>
      </w:tr>
      <w:tr w14:paraId="246796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8" w:type="dxa"/>
            <w:vMerge w:val="restart"/>
            <w:vAlign w:val="center"/>
          </w:tcPr>
          <w:p w14:paraId="4DCACF7C">
            <w:pPr>
              <w:widowControl/>
              <w:autoSpaceDE/>
              <w:autoSpaceDN/>
              <w:jc w:val="center"/>
              <w:rPr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7月9日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星期三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70331EC7">
            <w:pPr>
              <w:widowControl/>
              <w:autoSpaceDE/>
              <w:autoSpaceDN/>
              <w:jc w:val="center"/>
              <w:rPr>
                <w:rFonts w:hint="default" w:ascii="微软雅黑" w:hAnsi="微软雅黑" w:eastAsia="微软雅黑" w:cs="微软雅黑"/>
                <w:sz w:val="18"/>
                <w:szCs w:val="18"/>
                <w:vertAlign w:val="baseline"/>
                <w:lang w:val="en-US" w:eastAsia="zh-CN" w:bidi="zh-CN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9:00-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9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3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738AD176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固定收益产品投资与管理——</w:t>
            </w:r>
          </w:p>
          <w:p w14:paraId="26A17CA4">
            <w:pPr>
              <w:widowControl/>
              <w:autoSpaceDE/>
              <w:autoSpaceDN/>
              <w:ind w:firstLine="900" w:firstLineChars="500"/>
              <w:jc w:val="both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基本概念和原理</w:t>
            </w:r>
          </w:p>
        </w:tc>
        <w:tc>
          <w:tcPr>
            <w:tcW w:w="2093" w:type="dxa"/>
            <w:vMerge w:val="restart"/>
            <w:vAlign w:val="center"/>
          </w:tcPr>
          <w:p w14:paraId="3EDDCC34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bidi="ar-SA"/>
              </w:rPr>
              <w:t>华泰证券</w:t>
            </w:r>
          </w:p>
          <w:p w14:paraId="2F3691A7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bidi="ar-SA"/>
              </w:rPr>
              <w:t>固定收益部利率衍生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eastAsia="zh-CN" w:bidi="ar-SA"/>
              </w:rPr>
              <w:t>品</w:t>
            </w:r>
          </w:p>
          <w:p w14:paraId="7057B904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bidi="ar-SA"/>
              </w:rPr>
              <w:t>交易台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eastAsia="zh-CN" w:bidi="ar-SA"/>
              </w:rPr>
              <w:t>主管</w:t>
            </w:r>
          </w:p>
          <w:p w14:paraId="6292877F">
            <w:pPr>
              <w:jc w:val="center"/>
              <w:rPr>
                <w:sz w:val="18"/>
                <w:szCs w:val="18"/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eastAsia="zh-CN" w:bidi="ar-SA"/>
              </w:rPr>
              <w:t>顾海燕</w:t>
            </w:r>
          </w:p>
        </w:tc>
      </w:tr>
      <w:tr w14:paraId="0906B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8" w:type="dxa"/>
            <w:vMerge w:val="continue"/>
          </w:tcPr>
          <w:p w14:paraId="396AEACF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46F16546">
            <w:pPr>
              <w:widowControl/>
              <w:autoSpaceDE/>
              <w:autoSpaceDN/>
              <w:jc w:val="center"/>
              <w:rPr>
                <w:rFonts w:ascii="微软雅黑" w:hAnsi="微软雅黑" w:eastAsia="微软雅黑" w:cs="微软雅黑"/>
                <w:sz w:val="18"/>
                <w:szCs w:val="18"/>
                <w:vertAlign w:val="baseline"/>
                <w:lang w:val="zh-CN" w:eastAsia="zh-CN" w:bidi="zh-CN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9:3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10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27CC9EA6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固定收益产品投资与管理——</w:t>
            </w:r>
          </w:p>
          <w:p w14:paraId="48705343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利率期限结构及应用</w:t>
            </w:r>
          </w:p>
        </w:tc>
        <w:tc>
          <w:tcPr>
            <w:tcW w:w="2093" w:type="dxa"/>
            <w:vMerge w:val="continue"/>
          </w:tcPr>
          <w:p w14:paraId="388A9627">
            <w:pPr>
              <w:jc w:val="both"/>
              <w:rPr>
                <w:sz w:val="18"/>
                <w:szCs w:val="18"/>
                <w:vertAlign w:val="baseline"/>
              </w:rPr>
            </w:pPr>
          </w:p>
        </w:tc>
      </w:tr>
      <w:tr w14:paraId="3F557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8" w:type="dxa"/>
            <w:vMerge w:val="continue"/>
          </w:tcPr>
          <w:p w14:paraId="2E375506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5DD0AD0E">
            <w:pPr>
              <w:widowControl/>
              <w:autoSpaceDE/>
              <w:autoSpaceDN/>
              <w:jc w:val="center"/>
              <w:rPr>
                <w:rFonts w:ascii="微软雅黑" w:hAnsi="微软雅黑" w:eastAsia="微软雅黑" w:cs="微软雅黑"/>
                <w:sz w:val="18"/>
                <w:szCs w:val="18"/>
                <w:vertAlign w:val="baseline"/>
                <w:lang w:val="zh-CN" w:eastAsia="zh-CN" w:bidi="zh-CN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11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22414CF7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固定收益产品投资与管理——</w:t>
            </w:r>
          </w:p>
          <w:p w14:paraId="2D3E0EFE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混合证券</w:t>
            </w:r>
          </w:p>
        </w:tc>
        <w:tc>
          <w:tcPr>
            <w:tcW w:w="2093" w:type="dxa"/>
            <w:vMerge w:val="continue"/>
          </w:tcPr>
          <w:p w14:paraId="54CDB156">
            <w:pPr>
              <w:jc w:val="both"/>
              <w:rPr>
                <w:sz w:val="18"/>
                <w:szCs w:val="18"/>
                <w:vertAlign w:val="baseline"/>
              </w:rPr>
            </w:pPr>
          </w:p>
        </w:tc>
      </w:tr>
      <w:tr w14:paraId="2DE542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8" w:type="dxa"/>
            <w:vMerge w:val="continue"/>
          </w:tcPr>
          <w:p w14:paraId="2EAABA8B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5DAB1046">
            <w:pPr>
              <w:widowControl/>
              <w:autoSpaceDE/>
              <w:autoSpaceDN/>
              <w:jc w:val="center"/>
              <w:rPr>
                <w:rFonts w:ascii="微软雅黑" w:hAnsi="微软雅黑" w:eastAsia="微软雅黑" w:cs="微软雅黑"/>
                <w:sz w:val="18"/>
                <w:szCs w:val="18"/>
                <w:vertAlign w:val="baseline"/>
                <w:lang w:val="zh-CN" w:eastAsia="zh-CN" w:bidi="zh-CN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1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12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204B8E02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固定收益产品投资与管理——</w:t>
            </w:r>
          </w:p>
          <w:p w14:paraId="3BA03F8F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信用风险和按揭贷款证券化</w:t>
            </w:r>
          </w:p>
        </w:tc>
        <w:tc>
          <w:tcPr>
            <w:tcW w:w="2093" w:type="dxa"/>
            <w:vMerge w:val="continue"/>
          </w:tcPr>
          <w:p w14:paraId="0ACBF854">
            <w:pPr>
              <w:jc w:val="both"/>
              <w:rPr>
                <w:sz w:val="18"/>
                <w:szCs w:val="18"/>
                <w:vertAlign w:val="baseline"/>
              </w:rPr>
            </w:pPr>
          </w:p>
        </w:tc>
      </w:tr>
      <w:tr w14:paraId="22A52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8" w:type="dxa"/>
            <w:vMerge w:val="continue"/>
          </w:tcPr>
          <w:p w14:paraId="282384A5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</w:tcPr>
          <w:p w14:paraId="0D3BB0B3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12:00-14:00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033FF68B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  <w:t>午餐</w:t>
            </w:r>
          </w:p>
        </w:tc>
        <w:tc>
          <w:tcPr>
            <w:tcW w:w="2093" w:type="dxa"/>
            <w:vMerge w:val="continue"/>
          </w:tcPr>
          <w:p w14:paraId="53C8509D">
            <w:pPr>
              <w:jc w:val="both"/>
              <w:rPr>
                <w:sz w:val="18"/>
                <w:szCs w:val="18"/>
                <w:vertAlign w:val="baseline"/>
              </w:rPr>
            </w:pPr>
          </w:p>
        </w:tc>
      </w:tr>
      <w:tr w14:paraId="3A3220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178" w:type="dxa"/>
            <w:vMerge w:val="continue"/>
          </w:tcPr>
          <w:p w14:paraId="68672091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vAlign w:val="center"/>
          </w:tcPr>
          <w:p w14:paraId="240A705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  <w:t>14：00-15：00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711F3907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固定收益产品投资与管理——</w:t>
            </w:r>
          </w:p>
          <w:p w14:paraId="2B3DB5F4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资产抵押债券</w:t>
            </w:r>
          </w:p>
        </w:tc>
        <w:tc>
          <w:tcPr>
            <w:tcW w:w="2093" w:type="dxa"/>
            <w:vMerge w:val="continue"/>
          </w:tcPr>
          <w:p w14:paraId="3634E2D1">
            <w:pPr>
              <w:jc w:val="both"/>
              <w:rPr>
                <w:sz w:val="18"/>
                <w:szCs w:val="18"/>
                <w:vertAlign w:val="baseline"/>
              </w:rPr>
            </w:pPr>
          </w:p>
        </w:tc>
      </w:tr>
      <w:tr w14:paraId="11289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8" w:type="dxa"/>
            <w:vMerge w:val="continue"/>
          </w:tcPr>
          <w:p w14:paraId="5F2B09EC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vAlign w:val="center"/>
          </w:tcPr>
          <w:p w14:paraId="437310E5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  <w:t>15：00-16：00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42DA16F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固定收益产品投资与管理——</w:t>
            </w:r>
          </w:p>
          <w:p w14:paraId="42AEC2EA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固定收益证券组合管理策略</w:t>
            </w:r>
          </w:p>
        </w:tc>
        <w:tc>
          <w:tcPr>
            <w:tcW w:w="2093" w:type="dxa"/>
            <w:vMerge w:val="continue"/>
          </w:tcPr>
          <w:p w14:paraId="70098C20">
            <w:pPr>
              <w:jc w:val="both"/>
              <w:rPr>
                <w:sz w:val="18"/>
                <w:szCs w:val="18"/>
                <w:vertAlign w:val="baseline"/>
              </w:rPr>
            </w:pPr>
          </w:p>
        </w:tc>
      </w:tr>
      <w:tr w14:paraId="19850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</w:trPr>
        <w:tc>
          <w:tcPr>
            <w:tcW w:w="1178" w:type="dxa"/>
            <w:vMerge w:val="continue"/>
          </w:tcPr>
          <w:p w14:paraId="5A129490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vAlign w:val="center"/>
          </w:tcPr>
          <w:p w14:paraId="13594D8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  <w:t>16：00-17：00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3325380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default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  <w:t>国内市场主流固定收益类产品设计及创新案例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  <w:t>分享</w:t>
            </w:r>
          </w:p>
        </w:tc>
        <w:tc>
          <w:tcPr>
            <w:tcW w:w="2093" w:type="dxa"/>
            <w:vAlign w:val="center"/>
          </w:tcPr>
          <w:p w14:paraId="4200D20D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bidi="ar-SA"/>
              </w:rPr>
              <w:t>华泰证券</w:t>
            </w:r>
          </w:p>
          <w:p w14:paraId="0549B201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bidi="ar-SA"/>
              </w:rPr>
              <w:t>固定收益部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eastAsia="zh-CN" w:bidi="ar-SA"/>
              </w:rPr>
              <w:t>相关</w:t>
            </w:r>
          </w:p>
          <w:p w14:paraId="0172E560">
            <w:pPr>
              <w:jc w:val="center"/>
              <w:rPr>
                <w:sz w:val="18"/>
                <w:szCs w:val="18"/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18"/>
                <w:szCs w:val="18"/>
                <w:lang w:val="en-US" w:eastAsia="zh-CN" w:bidi="ar-SA"/>
              </w:rPr>
              <w:t>业务负责人</w:t>
            </w:r>
          </w:p>
        </w:tc>
      </w:tr>
      <w:tr w14:paraId="7F54B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</w:trPr>
        <w:tc>
          <w:tcPr>
            <w:tcW w:w="1178" w:type="dxa"/>
            <w:vMerge w:val="restart"/>
            <w:vAlign w:val="center"/>
          </w:tcPr>
          <w:p w14:paraId="63F2FA3C">
            <w:pPr>
              <w:jc w:val="center"/>
              <w:rPr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7月10日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br w:type="textWrapping"/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星期四</w:t>
            </w:r>
          </w:p>
        </w:tc>
        <w:tc>
          <w:tcPr>
            <w:tcW w:w="1375" w:type="dxa"/>
            <w:vAlign w:val="center"/>
          </w:tcPr>
          <w:p w14:paraId="5C3E544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9:00-10:00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726E3A16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Python编程与数据分析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——</w:t>
            </w:r>
          </w:p>
          <w:p w14:paraId="34877723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Web爬取举例</w:t>
            </w:r>
          </w:p>
        </w:tc>
        <w:tc>
          <w:tcPr>
            <w:tcW w:w="2093" w:type="dxa"/>
            <w:vMerge w:val="restart"/>
            <w:vAlign w:val="center"/>
          </w:tcPr>
          <w:p w14:paraId="22B27F0C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长江证券</w:t>
            </w:r>
          </w:p>
          <w:p w14:paraId="1D543738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研究所金融工程</w:t>
            </w:r>
          </w:p>
          <w:p w14:paraId="43F83E14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  <w:t>资深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分析师</w:t>
            </w:r>
          </w:p>
          <w:p w14:paraId="2F2F814F">
            <w:pPr>
              <w:jc w:val="center"/>
              <w:rPr>
                <w:sz w:val="18"/>
                <w:szCs w:val="18"/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邓越</w:t>
            </w:r>
          </w:p>
        </w:tc>
      </w:tr>
      <w:tr w14:paraId="40C4E3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1178" w:type="dxa"/>
            <w:vMerge w:val="continue"/>
          </w:tcPr>
          <w:p w14:paraId="100EE1E7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vAlign w:val="center"/>
          </w:tcPr>
          <w:p w14:paraId="69089966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10:00-11:30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3B283D69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Python编程与数据分析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——数据整合</w:t>
            </w:r>
          </w:p>
        </w:tc>
        <w:tc>
          <w:tcPr>
            <w:tcW w:w="2093" w:type="dxa"/>
            <w:vMerge w:val="continue"/>
          </w:tcPr>
          <w:p w14:paraId="73F45257">
            <w:pPr>
              <w:jc w:val="both"/>
              <w:rPr>
                <w:sz w:val="18"/>
                <w:szCs w:val="18"/>
                <w:vertAlign w:val="baseline"/>
              </w:rPr>
            </w:pPr>
          </w:p>
        </w:tc>
      </w:tr>
      <w:tr w14:paraId="187245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178" w:type="dxa"/>
            <w:vMerge w:val="continue"/>
          </w:tcPr>
          <w:p w14:paraId="6AAA2D8B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vAlign w:val="center"/>
          </w:tcPr>
          <w:p w14:paraId="37402AE7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11:30-13:30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117A4BF8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午餐</w:t>
            </w:r>
          </w:p>
        </w:tc>
        <w:tc>
          <w:tcPr>
            <w:tcW w:w="2093" w:type="dxa"/>
            <w:vMerge w:val="continue"/>
          </w:tcPr>
          <w:p w14:paraId="52A9A6BF">
            <w:pPr>
              <w:jc w:val="both"/>
              <w:rPr>
                <w:sz w:val="18"/>
                <w:szCs w:val="18"/>
                <w:vertAlign w:val="baseline"/>
              </w:rPr>
            </w:pPr>
          </w:p>
        </w:tc>
      </w:tr>
      <w:tr w14:paraId="47BE85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178" w:type="dxa"/>
            <w:vMerge w:val="continue"/>
          </w:tcPr>
          <w:p w14:paraId="490311AE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vAlign w:val="center"/>
          </w:tcPr>
          <w:p w14:paraId="3D490B6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13:30-15:00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41A05387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Python编程与数据分析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——数据可视化</w:t>
            </w:r>
          </w:p>
        </w:tc>
        <w:tc>
          <w:tcPr>
            <w:tcW w:w="2093" w:type="dxa"/>
            <w:vMerge w:val="continue"/>
          </w:tcPr>
          <w:p w14:paraId="33F40147">
            <w:pPr>
              <w:jc w:val="both"/>
              <w:rPr>
                <w:sz w:val="18"/>
                <w:szCs w:val="18"/>
                <w:vertAlign w:val="baseline"/>
              </w:rPr>
            </w:pPr>
          </w:p>
        </w:tc>
      </w:tr>
      <w:tr w14:paraId="367E8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8" w:type="dxa"/>
            <w:vMerge w:val="continue"/>
          </w:tcPr>
          <w:p w14:paraId="3CB7F855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vAlign w:val="center"/>
          </w:tcPr>
          <w:p w14:paraId="1BAC06E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15:00-16:00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45C30C07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Python编程与数据分析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——</w:t>
            </w:r>
          </w:p>
          <w:p w14:paraId="4C2CCE04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组合构建与回测</w:t>
            </w:r>
          </w:p>
        </w:tc>
        <w:tc>
          <w:tcPr>
            <w:tcW w:w="2093" w:type="dxa"/>
            <w:vMerge w:val="continue"/>
          </w:tcPr>
          <w:p w14:paraId="7B902BC2">
            <w:pPr>
              <w:jc w:val="both"/>
              <w:rPr>
                <w:sz w:val="18"/>
                <w:szCs w:val="18"/>
                <w:vertAlign w:val="baseline"/>
              </w:rPr>
            </w:pPr>
          </w:p>
        </w:tc>
      </w:tr>
      <w:tr w14:paraId="28058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8" w:type="dxa"/>
            <w:vMerge w:val="continue"/>
          </w:tcPr>
          <w:p w14:paraId="75F931D4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vAlign w:val="center"/>
          </w:tcPr>
          <w:p w14:paraId="53F0A810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16:00-17:00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709C5D56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ascii="仿宋_GB2312" w:hAnsi="Times New Roman" w:eastAsia="仿宋_GB2312" w:cs="Times New Roman"/>
                <w:sz w:val="18"/>
                <w:szCs w:val="18"/>
                <w:lang w:val="en-US" w:bidi="ar-SA"/>
              </w:rPr>
              <w:t>Python编程与数据分析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——</w:t>
            </w:r>
          </w:p>
          <w:p w14:paraId="273FC404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报告自动化生成</w:t>
            </w:r>
          </w:p>
        </w:tc>
        <w:tc>
          <w:tcPr>
            <w:tcW w:w="2093" w:type="dxa"/>
            <w:vMerge w:val="continue"/>
          </w:tcPr>
          <w:p w14:paraId="19600D5E">
            <w:pPr>
              <w:jc w:val="both"/>
              <w:rPr>
                <w:sz w:val="18"/>
                <w:szCs w:val="18"/>
                <w:vertAlign w:val="baseline"/>
              </w:rPr>
            </w:pPr>
          </w:p>
        </w:tc>
      </w:tr>
      <w:tr w14:paraId="2B268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178" w:type="dxa"/>
            <w:vMerge w:val="continue"/>
          </w:tcPr>
          <w:p w14:paraId="02998841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vAlign w:val="center"/>
          </w:tcPr>
          <w:p w14:paraId="389BC1B7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17:00-18:00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780DB649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  <w:t>投研专项讲师最新研究成果分享——</w:t>
            </w:r>
          </w:p>
          <w:p w14:paraId="5AC9062E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  <w:t>家电行业研究框架</w:t>
            </w:r>
          </w:p>
        </w:tc>
        <w:tc>
          <w:tcPr>
            <w:tcW w:w="2093" w:type="dxa"/>
          </w:tcPr>
          <w:p w14:paraId="0FBAA581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国联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  <w:t>民生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证券</w:t>
            </w:r>
          </w:p>
          <w:p w14:paraId="54B4B445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研究所副</w:t>
            </w: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  <w:t>总经理</w:t>
            </w:r>
          </w:p>
          <w:p w14:paraId="69513C5E">
            <w:pPr>
              <w:widowControl/>
              <w:autoSpaceDE/>
              <w:autoSpaceDN/>
              <w:jc w:val="center"/>
              <w:rPr>
                <w:sz w:val="18"/>
                <w:szCs w:val="18"/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管泉森</w:t>
            </w:r>
          </w:p>
        </w:tc>
      </w:tr>
      <w:tr w14:paraId="635CF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1178" w:type="dxa"/>
            <w:vMerge w:val="restart"/>
            <w:vAlign w:val="center"/>
          </w:tcPr>
          <w:p w14:paraId="6FA93735">
            <w:pPr>
              <w:jc w:val="center"/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7月11日</w:t>
            </w:r>
          </w:p>
          <w:p w14:paraId="4F15DBC4">
            <w:pPr>
              <w:jc w:val="center"/>
              <w:rPr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星期五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79FA853D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9:00-10:30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05AFB25A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金融衍生品投资与管理——期货</w:t>
            </w:r>
          </w:p>
        </w:tc>
        <w:tc>
          <w:tcPr>
            <w:tcW w:w="2093" w:type="dxa"/>
            <w:vMerge w:val="restart"/>
            <w:vAlign w:val="center"/>
          </w:tcPr>
          <w:p w14:paraId="64855DC8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东吴证券</w:t>
            </w:r>
          </w:p>
          <w:p w14:paraId="621A3AD9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研究所金融工程</w:t>
            </w:r>
          </w:p>
          <w:p w14:paraId="4C0D69D1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首席分析师</w:t>
            </w:r>
          </w:p>
          <w:p w14:paraId="12F1B578">
            <w:pPr>
              <w:jc w:val="center"/>
              <w:rPr>
                <w:sz w:val="18"/>
                <w:szCs w:val="18"/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高子剑</w:t>
            </w:r>
          </w:p>
        </w:tc>
      </w:tr>
      <w:tr w14:paraId="507D8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</w:trPr>
        <w:tc>
          <w:tcPr>
            <w:tcW w:w="1178" w:type="dxa"/>
            <w:vMerge w:val="continue"/>
          </w:tcPr>
          <w:p w14:paraId="7A07DC26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110EACA8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10:30-12:00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516F6C7E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金融衍生品投资与管理——期权</w:t>
            </w:r>
          </w:p>
        </w:tc>
        <w:tc>
          <w:tcPr>
            <w:tcW w:w="2093" w:type="dxa"/>
            <w:vMerge w:val="continue"/>
          </w:tcPr>
          <w:p w14:paraId="74FFBC8B">
            <w:pPr>
              <w:jc w:val="both"/>
              <w:rPr>
                <w:vertAlign w:val="baseline"/>
              </w:rPr>
            </w:pPr>
          </w:p>
        </w:tc>
      </w:tr>
      <w:tr w14:paraId="5DA5BF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178" w:type="dxa"/>
            <w:vMerge w:val="continue"/>
          </w:tcPr>
          <w:p w14:paraId="3B685D8A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14552BEB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12:00-14:00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311B4865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午餐</w:t>
            </w:r>
          </w:p>
        </w:tc>
        <w:tc>
          <w:tcPr>
            <w:tcW w:w="2093" w:type="dxa"/>
            <w:vMerge w:val="continue"/>
          </w:tcPr>
          <w:p w14:paraId="64CABE48">
            <w:pPr>
              <w:jc w:val="both"/>
              <w:rPr>
                <w:vertAlign w:val="baseline"/>
              </w:rPr>
            </w:pPr>
          </w:p>
        </w:tc>
      </w:tr>
      <w:tr w14:paraId="41D76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78" w:type="dxa"/>
            <w:vMerge w:val="continue"/>
          </w:tcPr>
          <w:p w14:paraId="5E7A4C11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4F8376D6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14:00-15:00</w:t>
            </w:r>
          </w:p>
        </w:tc>
        <w:tc>
          <w:tcPr>
            <w:tcW w:w="3749" w:type="dxa"/>
            <w:shd w:val="clear" w:color="auto" w:fill="auto"/>
            <w:vAlign w:val="center"/>
          </w:tcPr>
          <w:p w14:paraId="686E6A15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金融衍生品投资与管理——期权</w:t>
            </w:r>
          </w:p>
        </w:tc>
        <w:tc>
          <w:tcPr>
            <w:tcW w:w="2093" w:type="dxa"/>
            <w:vMerge w:val="continue"/>
          </w:tcPr>
          <w:p w14:paraId="2DBBFAF0">
            <w:pPr>
              <w:jc w:val="both"/>
              <w:rPr>
                <w:vertAlign w:val="baseline"/>
              </w:rPr>
            </w:pPr>
          </w:p>
        </w:tc>
      </w:tr>
      <w:tr w14:paraId="1805C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78" w:type="dxa"/>
            <w:vMerge w:val="continue"/>
          </w:tcPr>
          <w:p w14:paraId="53C2D97C">
            <w:pPr>
              <w:jc w:val="both"/>
              <w:rPr>
                <w:vertAlign w:val="baseline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08772165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15:00-17:00</w:t>
            </w:r>
          </w:p>
        </w:tc>
        <w:tc>
          <w:tcPr>
            <w:tcW w:w="3749" w:type="dxa"/>
          </w:tcPr>
          <w:p w14:paraId="29B83DB4">
            <w:pPr>
              <w:jc w:val="center"/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金融衍生品投资与管理——</w:t>
            </w:r>
          </w:p>
          <w:p w14:paraId="1F8B1253">
            <w:pPr>
              <w:jc w:val="center"/>
              <w:rPr>
                <w:sz w:val="18"/>
                <w:szCs w:val="18"/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sz w:val="18"/>
                <w:szCs w:val="18"/>
                <w:lang w:val="en-US" w:bidi="ar-SA"/>
              </w:rPr>
              <w:t>互换与信用衍生品</w:t>
            </w:r>
          </w:p>
        </w:tc>
        <w:tc>
          <w:tcPr>
            <w:tcW w:w="2093" w:type="dxa"/>
            <w:vMerge w:val="continue"/>
          </w:tcPr>
          <w:p w14:paraId="2CA729AA">
            <w:pPr>
              <w:jc w:val="both"/>
              <w:rPr>
                <w:vertAlign w:val="baseline"/>
              </w:rPr>
            </w:pPr>
          </w:p>
        </w:tc>
      </w:tr>
    </w:tbl>
    <w:p w14:paraId="1B861B39">
      <w:pPr>
        <w:rPr>
          <w:lang w:val="en-US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C134C"/>
    <w:rsid w:val="01D31020"/>
    <w:rsid w:val="02820350"/>
    <w:rsid w:val="03815A8A"/>
    <w:rsid w:val="04ED1E76"/>
    <w:rsid w:val="08713C75"/>
    <w:rsid w:val="09C11BC8"/>
    <w:rsid w:val="09F47D86"/>
    <w:rsid w:val="170759DD"/>
    <w:rsid w:val="17DA7926"/>
    <w:rsid w:val="1D6252A2"/>
    <w:rsid w:val="24646187"/>
    <w:rsid w:val="271F1C88"/>
    <w:rsid w:val="2A7319B4"/>
    <w:rsid w:val="2D6F496A"/>
    <w:rsid w:val="34FB5C3B"/>
    <w:rsid w:val="38D40C1D"/>
    <w:rsid w:val="3BB71A45"/>
    <w:rsid w:val="43D95A8F"/>
    <w:rsid w:val="452A22D2"/>
    <w:rsid w:val="47F60A11"/>
    <w:rsid w:val="4909304D"/>
    <w:rsid w:val="4DDD3239"/>
    <w:rsid w:val="4FC21BC6"/>
    <w:rsid w:val="51711289"/>
    <w:rsid w:val="51D971C0"/>
    <w:rsid w:val="53066529"/>
    <w:rsid w:val="55371FE9"/>
    <w:rsid w:val="55F25196"/>
    <w:rsid w:val="5A5C6FA7"/>
    <w:rsid w:val="5CC22998"/>
    <w:rsid w:val="602C1457"/>
    <w:rsid w:val="622F1785"/>
    <w:rsid w:val="675445CD"/>
    <w:rsid w:val="6ABC136F"/>
    <w:rsid w:val="6B427AC6"/>
    <w:rsid w:val="6C215B5D"/>
    <w:rsid w:val="72505D04"/>
    <w:rsid w:val="782B3690"/>
    <w:rsid w:val="783408A9"/>
    <w:rsid w:val="79B867C9"/>
    <w:rsid w:val="7BAC1798"/>
    <w:rsid w:val="7E167407"/>
    <w:rsid w:val="7E6536A2"/>
    <w:rsid w:val="7F3648B6"/>
    <w:rsid w:val="7FD12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微软雅黑" w:hAnsi="微软雅黑" w:eastAsia="微软雅黑" w:cs="微软雅黑"/>
      <w:sz w:val="22"/>
      <w:szCs w:val="22"/>
      <w:lang w:val="zh-CN" w:eastAsia="zh-CN" w:bidi="zh-CN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499</Words>
  <Characters>711</Characters>
  <Lines>0</Lines>
  <Paragraphs>0</Paragraphs>
  <TotalTime>0</TotalTime>
  <ScaleCrop>false</ScaleCrop>
  <LinksUpToDate>false</LinksUpToDate>
  <CharactersWithSpaces>712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2025-06-11T02:17:00Z</dcterms:created>
  <cp:lastModifiedBy>guoyx</cp:lastModifiedBy>
  <dcterms:modified xsi:type="dcterms:W3CDTF">2025-06-17T06:35:06Z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eyJoZGlkIjoiMzEwNTM5NzYwMDRjMzkwZTVkZjY2ODkwMGIxNGU0OTUiLCJ1c2VySWQiOiI1NjUwMzk2NzcifQ==</vt:lpwstr>
  </property>
  <property fmtid="{D5CDD505-2E9C-101B-9397-08002B2CF9AE}" pid="4" name="ICV">
    <vt:lpwstr>6D1C1BE67F074503BECEC90DD23DBCA5_12</vt:lpwstr>
  </property>
</Properties>
</file>