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9908B9">
      <w:pPr>
        <w:jc w:val="center"/>
        <w:rPr>
          <w:rFonts w:hint="eastAsia" w:ascii="华文中宋" w:hAnsi="华文中宋" w:eastAsia="华文中宋"/>
          <w:b/>
          <w:sz w:val="36"/>
          <w:szCs w:val="36"/>
          <w:lang w:eastAsia="zh-CN"/>
        </w:rPr>
      </w:pPr>
      <w:r>
        <w:rPr>
          <w:rFonts w:hint="eastAsia" w:ascii="华文中宋" w:hAnsi="华文中宋" w:eastAsia="华文中宋"/>
          <w:b/>
          <w:sz w:val="36"/>
          <w:szCs w:val="36"/>
        </w:rPr>
        <w:t>课程安排</w:t>
      </w:r>
      <w:bookmarkStart w:id="0" w:name="_GoBack"/>
      <w:bookmarkEnd w:id="0"/>
    </w:p>
    <w:p w14:paraId="3177A8B6">
      <w:pPr>
        <w:jc w:val="both"/>
        <w:rPr>
          <w:rFonts w:hint="eastAsia" w:ascii="仿宋_GB2312" w:hAnsi="华文中宋" w:eastAsia="仿宋_GB2312"/>
          <w:sz w:val="24"/>
          <w:szCs w:val="24"/>
        </w:rPr>
      </w:pPr>
    </w:p>
    <w:p w14:paraId="480FCD45">
      <w:pPr>
        <w:jc w:val="both"/>
        <w:rPr>
          <w:rFonts w:hint="default" w:ascii="仿宋_GB2312" w:hAnsi="华文中宋" w:eastAsia="仿宋_GB2312"/>
          <w:sz w:val="30"/>
          <w:szCs w:val="30"/>
          <w:lang w:val="en-US" w:eastAsia="zh-CN"/>
        </w:rPr>
      </w:pPr>
      <w:r>
        <w:rPr>
          <w:rFonts w:hint="eastAsia" w:ascii="仿宋_GB2312" w:hAnsi="华文中宋" w:eastAsia="仿宋_GB2312"/>
          <w:sz w:val="30"/>
          <w:szCs w:val="30"/>
        </w:rPr>
        <w:t>培训地点：</w:t>
      </w:r>
      <w:r>
        <w:rPr>
          <w:rFonts w:hint="eastAsia" w:ascii="仿宋_GB2312" w:hAnsi="华文中宋" w:eastAsia="仿宋_GB2312"/>
          <w:sz w:val="30"/>
          <w:szCs w:val="30"/>
          <w:lang w:val="en-US" w:eastAsia="zh-CN"/>
        </w:rPr>
        <w:t>深圳资本市场学院 A栋教学楼221教室</w:t>
      </w:r>
    </w:p>
    <w:tbl>
      <w:tblPr>
        <w:tblStyle w:val="3"/>
        <w:tblW w:w="87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2"/>
        <w:gridCol w:w="1688"/>
        <w:gridCol w:w="3867"/>
        <w:gridCol w:w="1993"/>
      </w:tblGrid>
      <w:tr w14:paraId="56F5E3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0" w:hRule="atLeast"/>
          <w:jc w:val="center"/>
        </w:trPr>
        <w:tc>
          <w:tcPr>
            <w:tcW w:w="1172" w:type="dxa"/>
            <w:shd w:val="clear" w:color="000000" w:fill="D0CECE"/>
            <w:vAlign w:val="center"/>
          </w:tcPr>
          <w:p w14:paraId="475FB520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日期</w:t>
            </w:r>
          </w:p>
        </w:tc>
        <w:tc>
          <w:tcPr>
            <w:tcW w:w="1688" w:type="dxa"/>
            <w:shd w:val="clear" w:color="000000" w:fill="D0CECE"/>
            <w:vAlign w:val="center"/>
          </w:tcPr>
          <w:p w14:paraId="10234AEC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时间</w:t>
            </w:r>
          </w:p>
        </w:tc>
        <w:tc>
          <w:tcPr>
            <w:tcW w:w="3867" w:type="dxa"/>
            <w:shd w:val="clear" w:color="000000" w:fill="D0CECE"/>
            <w:vAlign w:val="center"/>
          </w:tcPr>
          <w:p w14:paraId="3AD2D43E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培训内容</w:t>
            </w:r>
          </w:p>
        </w:tc>
        <w:tc>
          <w:tcPr>
            <w:tcW w:w="1993" w:type="dxa"/>
            <w:shd w:val="clear" w:color="000000" w:fill="D0CECE"/>
            <w:vAlign w:val="center"/>
          </w:tcPr>
          <w:p w14:paraId="5D430661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授课讲师</w:t>
            </w:r>
          </w:p>
        </w:tc>
      </w:tr>
      <w:tr w14:paraId="4634F3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1" w:hRule="atLeast"/>
          <w:jc w:val="center"/>
        </w:trPr>
        <w:tc>
          <w:tcPr>
            <w:tcW w:w="1172" w:type="dxa"/>
            <w:vMerge w:val="restart"/>
            <w:vAlign w:val="center"/>
          </w:tcPr>
          <w:p w14:paraId="40C54211">
            <w:pPr>
              <w:widowControl/>
              <w:autoSpaceDE/>
              <w:autoSpaceDN/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  <w:t>9月23日</w:t>
            </w: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  <w:br w:type="textWrapping"/>
            </w: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  <w:t>星期二</w:t>
            </w:r>
          </w:p>
        </w:tc>
        <w:tc>
          <w:tcPr>
            <w:tcW w:w="1688" w:type="dxa"/>
            <w:shd w:val="clear" w:color="auto" w:fill="auto"/>
            <w:vAlign w:val="center"/>
          </w:tcPr>
          <w:p w14:paraId="616A78B3">
            <w:pPr>
              <w:widowControl/>
              <w:autoSpaceDE/>
              <w:autoSpaceDN/>
              <w:jc w:val="center"/>
              <w:rPr>
                <w:rFonts w:hint="default" w:ascii="微软雅黑" w:hAnsi="微软雅黑" w:eastAsia="微软雅黑" w:cs="微软雅黑"/>
                <w:sz w:val="24"/>
                <w:szCs w:val="24"/>
                <w:vertAlign w:val="baseline"/>
                <w:lang w:val="en-US" w:eastAsia="zh-CN" w:bidi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9:00-10:30</w:t>
            </w:r>
          </w:p>
        </w:tc>
        <w:tc>
          <w:tcPr>
            <w:tcW w:w="3867" w:type="dxa"/>
            <w:shd w:val="clear" w:color="auto" w:fill="auto"/>
            <w:vAlign w:val="center"/>
          </w:tcPr>
          <w:p w14:paraId="7C693F51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金融衍生品投资与管理——期货</w:t>
            </w:r>
          </w:p>
        </w:tc>
        <w:tc>
          <w:tcPr>
            <w:tcW w:w="1993" w:type="dxa"/>
            <w:vMerge w:val="restart"/>
            <w:vAlign w:val="center"/>
          </w:tcPr>
          <w:p w14:paraId="66C7D583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东吴证券</w:t>
            </w:r>
          </w:p>
          <w:p w14:paraId="35279A53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研究所金融工程</w:t>
            </w:r>
          </w:p>
          <w:p w14:paraId="6EBD6784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首席分析师</w:t>
            </w:r>
          </w:p>
          <w:p w14:paraId="487B3EAA"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高子剑</w:t>
            </w:r>
          </w:p>
        </w:tc>
      </w:tr>
      <w:tr w14:paraId="4A3FDA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4" w:hRule="atLeast"/>
          <w:jc w:val="center"/>
        </w:trPr>
        <w:tc>
          <w:tcPr>
            <w:tcW w:w="1172" w:type="dxa"/>
            <w:vMerge w:val="continue"/>
          </w:tcPr>
          <w:p w14:paraId="36D8526C">
            <w:pPr>
              <w:jc w:val="both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688" w:type="dxa"/>
            <w:shd w:val="clear" w:color="auto" w:fill="auto"/>
            <w:vAlign w:val="center"/>
          </w:tcPr>
          <w:p w14:paraId="23FA1206">
            <w:pPr>
              <w:widowControl/>
              <w:autoSpaceDE/>
              <w:autoSpaceDN/>
              <w:jc w:val="center"/>
              <w:rPr>
                <w:rFonts w:ascii="微软雅黑" w:hAnsi="微软雅黑" w:eastAsia="微软雅黑" w:cs="微软雅黑"/>
                <w:sz w:val="24"/>
                <w:szCs w:val="24"/>
                <w:vertAlign w:val="baseline"/>
                <w:lang w:val="zh-CN" w:eastAsia="zh-CN" w:bidi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10:30-12:00</w:t>
            </w:r>
          </w:p>
        </w:tc>
        <w:tc>
          <w:tcPr>
            <w:tcW w:w="3867" w:type="dxa"/>
            <w:shd w:val="clear" w:color="auto" w:fill="auto"/>
            <w:vAlign w:val="center"/>
          </w:tcPr>
          <w:p w14:paraId="6EA90BDB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金融衍生品投资与管理——期权</w:t>
            </w:r>
          </w:p>
        </w:tc>
        <w:tc>
          <w:tcPr>
            <w:tcW w:w="1993" w:type="dxa"/>
            <w:vMerge w:val="continue"/>
          </w:tcPr>
          <w:p w14:paraId="6DA39456">
            <w:pPr>
              <w:jc w:val="both"/>
              <w:rPr>
                <w:sz w:val="24"/>
                <w:szCs w:val="24"/>
                <w:vertAlign w:val="baseline"/>
              </w:rPr>
            </w:pPr>
          </w:p>
        </w:tc>
      </w:tr>
      <w:tr w14:paraId="188FA8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  <w:jc w:val="center"/>
        </w:trPr>
        <w:tc>
          <w:tcPr>
            <w:tcW w:w="1172" w:type="dxa"/>
            <w:vMerge w:val="continue"/>
          </w:tcPr>
          <w:p w14:paraId="38AFFBB2">
            <w:pPr>
              <w:jc w:val="both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688" w:type="dxa"/>
            <w:shd w:val="clear" w:color="auto" w:fill="auto"/>
            <w:vAlign w:val="center"/>
          </w:tcPr>
          <w:p w14:paraId="3C47B035">
            <w:pPr>
              <w:widowControl/>
              <w:autoSpaceDE/>
              <w:autoSpaceDN/>
              <w:jc w:val="center"/>
              <w:rPr>
                <w:rFonts w:ascii="微软雅黑" w:hAnsi="微软雅黑" w:eastAsia="微软雅黑" w:cs="微软雅黑"/>
                <w:sz w:val="24"/>
                <w:szCs w:val="24"/>
                <w:vertAlign w:val="baseline"/>
                <w:lang w:val="zh-CN" w:eastAsia="zh-CN" w:bidi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12:00-14:00</w:t>
            </w:r>
          </w:p>
        </w:tc>
        <w:tc>
          <w:tcPr>
            <w:tcW w:w="3867" w:type="dxa"/>
            <w:shd w:val="clear" w:color="auto" w:fill="auto"/>
            <w:vAlign w:val="center"/>
          </w:tcPr>
          <w:p w14:paraId="0A61A5CD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午餐</w:t>
            </w:r>
          </w:p>
        </w:tc>
        <w:tc>
          <w:tcPr>
            <w:tcW w:w="1993" w:type="dxa"/>
            <w:vMerge w:val="continue"/>
          </w:tcPr>
          <w:p w14:paraId="11E5174C">
            <w:pPr>
              <w:jc w:val="both"/>
              <w:rPr>
                <w:sz w:val="24"/>
                <w:szCs w:val="24"/>
                <w:vertAlign w:val="baseline"/>
              </w:rPr>
            </w:pPr>
          </w:p>
        </w:tc>
      </w:tr>
      <w:tr w14:paraId="6F05E3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7" w:hRule="atLeast"/>
          <w:jc w:val="center"/>
        </w:trPr>
        <w:tc>
          <w:tcPr>
            <w:tcW w:w="1172" w:type="dxa"/>
            <w:vMerge w:val="continue"/>
          </w:tcPr>
          <w:p w14:paraId="48F31BC8">
            <w:pPr>
              <w:jc w:val="both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688" w:type="dxa"/>
            <w:shd w:val="clear" w:color="auto" w:fill="auto"/>
            <w:vAlign w:val="center"/>
          </w:tcPr>
          <w:p w14:paraId="242FA574">
            <w:pPr>
              <w:widowControl/>
              <w:autoSpaceDE/>
              <w:autoSpaceDN/>
              <w:jc w:val="center"/>
              <w:rPr>
                <w:rFonts w:ascii="微软雅黑" w:hAnsi="微软雅黑" w:eastAsia="微软雅黑" w:cs="微软雅黑"/>
                <w:sz w:val="24"/>
                <w:szCs w:val="24"/>
                <w:vertAlign w:val="baseline"/>
                <w:lang w:val="zh-CN" w:eastAsia="zh-CN" w:bidi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14:00-15:00</w:t>
            </w:r>
          </w:p>
        </w:tc>
        <w:tc>
          <w:tcPr>
            <w:tcW w:w="3867" w:type="dxa"/>
            <w:shd w:val="clear" w:color="auto" w:fill="auto"/>
            <w:vAlign w:val="center"/>
          </w:tcPr>
          <w:p w14:paraId="04F79F9C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金融衍生品投资与管理——期权</w:t>
            </w:r>
          </w:p>
        </w:tc>
        <w:tc>
          <w:tcPr>
            <w:tcW w:w="1993" w:type="dxa"/>
            <w:vMerge w:val="continue"/>
          </w:tcPr>
          <w:p w14:paraId="5B8EDB24">
            <w:pPr>
              <w:jc w:val="both"/>
              <w:rPr>
                <w:sz w:val="24"/>
                <w:szCs w:val="24"/>
                <w:vertAlign w:val="baseline"/>
              </w:rPr>
            </w:pPr>
          </w:p>
        </w:tc>
      </w:tr>
      <w:tr w14:paraId="352ADF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1172" w:type="dxa"/>
            <w:vMerge w:val="continue"/>
          </w:tcPr>
          <w:p w14:paraId="385B6C53">
            <w:pPr>
              <w:jc w:val="both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688" w:type="dxa"/>
            <w:vAlign w:val="center"/>
          </w:tcPr>
          <w:p w14:paraId="20E78475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15:00-17:00</w:t>
            </w:r>
          </w:p>
        </w:tc>
        <w:tc>
          <w:tcPr>
            <w:tcW w:w="3867" w:type="dxa"/>
            <w:shd w:val="clear" w:color="auto" w:fill="auto"/>
            <w:vAlign w:val="center"/>
          </w:tcPr>
          <w:p w14:paraId="7B4541B6">
            <w:pPr>
              <w:jc w:val="center"/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金融衍生品投资与管理——</w:t>
            </w:r>
          </w:p>
          <w:p w14:paraId="267A0D8F">
            <w:pPr>
              <w:jc w:val="center"/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互换与信用衍生品</w:t>
            </w:r>
          </w:p>
        </w:tc>
        <w:tc>
          <w:tcPr>
            <w:tcW w:w="1993" w:type="dxa"/>
            <w:vMerge w:val="continue"/>
          </w:tcPr>
          <w:p w14:paraId="6CBFE582">
            <w:pPr>
              <w:jc w:val="both"/>
              <w:rPr>
                <w:sz w:val="24"/>
                <w:szCs w:val="24"/>
                <w:vertAlign w:val="baseline"/>
              </w:rPr>
            </w:pPr>
          </w:p>
        </w:tc>
      </w:tr>
      <w:tr w14:paraId="0ECD3C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172" w:type="dxa"/>
            <w:vMerge w:val="restart"/>
            <w:vAlign w:val="center"/>
          </w:tcPr>
          <w:p w14:paraId="2862721C"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  <w:t>9月24日</w:t>
            </w: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  <w:br w:type="textWrapping"/>
            </w: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  <w:t>星期三</w:t>
            </w:r>
          </w:p>
        </w:tc>
        <w:tc>
          <w:tcPr>
            <w:tcW w:w="1688" w:type="dxa"/>
            <w:vAlign w:val="center"/>
          </w:tcPr>
          <w:p w14:paraId="5F2C55DC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9:00-</w:t>
            </w:r>
            <w:r>
              <w:rPr>
                <w:rFonts w:ascii="仿宋_GB2312" w:hAnsi="Times New Roman" w:eastAsia="仿宋_GB2312" w:cs="Times New Roman"/>
                <w:sz w:val="24"/>
                <w:szCs w:val="24"/>
                <w:lang w:val="en-US" w:bidi="ar-SA"/>
              </w:rPr>
              <w:t>9</w:t>
            </w: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:</w:t>
            </w:r>
            <w:r>
              <w:rPr>
                <w:rFonts w:ascii="仿宋_GB2312" w:hAnsi="Times New Roman" w:eastAsia="仿宋_GB2312" w:cs="Times New Roman"/>
                <w:sz w:val="24"/>
                <w:szCs w:val="24"/>
                <w:lang w:val="en-US" w:bidi="ar-SA"/>
              </w:rPr>
              <w:t>3</w:t>
            </w: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0</w:t>
            </w:r>
          </w:p>
        </w:tc>
        <w:tc>
          <w:tcPr>
            <w:tcW w:w="3867" w:type="dxa"/>
            <w:shd w:val="clear" w:color="auto" w:fill="auto"/>
            <w:vAlign w:val="center"/>
          </w:tcPr>
          <w:p w14:paraId="2DB276E3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固定收益产品投资与管理——</w:t>
            </w:r>
          </w:p>
          <w:p w14:paraId="4177B78D">
            <w:pPr>
              <w:widowControl/>
              <w:autoSpaceDE/>
              <w:autoSpaceDN/>
              <w:ind w:firstLine="1200" w:firstLineChars="500"/>
              <w:jc w:val="both"/>
              <w:rPr>
                <w:rFonts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基本概念和原理</w:t>
            </w:r>
          </w:p>
        </w:tc>
        <w:tc>
          <w:tcPr>
            <w:tcW w:w="1993" w:type="dxa"/>
            <w:vMerge w:val="restart"/>
            <w:vAlign w:val="center"/>
          </w:tcPr>
          <w:p w14:paraId="0FF153C3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  <w:t>财信证券</w:t>
            </w:r>
          </w:p>
          <w:p w14:paraId="3EFA7A4C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  <w:t>固定收益部</w:t>
            </w:r>
          </w:p>
          <w:p w14:paraId="04CF54D1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  <w:t>总经理</w:t>
            </w:r>
          </w:p>
          <w:p w14:paraId="2D2AD7BC">
            <w:pPr>
              <w:widowControl/>
              <w:autoSpaceDE/>
              <w:autoSpaceDN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  <w:t>李雪文</w:t>
            </w:r>
          </w:p>
        </w:tc>
      </w:tr>
      <w:tr w14:paraId="6DC44B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2" w:hRule="atLeast"/>
          <w:jc w:val="center"/>
        </w:trPr>
        <w:tc>
          <w:tcPr>
            <w:tcW w:w="1172" w:type="dxa"/>
            <w:vMerge w:val="continue"/>
          </w:tcPr>
          <w:p w14:paraId="2EB79E54">
            <w:pPr>
              <w:jc w:val="both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688" w:type="dxa"/>
            <w:vAlign w:val="center"/>
          </w:tcPr>
          <w:p w14:paraId="63A09783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9:3</w:t>
            </w:r>
            <w:r>
              <w:rPr>
                <w:rFonts w:ascii="仿宋_GB2312" w:hAnsi="Times New Roman" w:eastAsia="仿宋_GB2312" w:cs="Times New Roman"/>
                <w:sz w:val="24"/>
                <w:szCs w:val="24"/>
                <w:lang w:val="en-US" w:bidi="ar-SA"/>
              </w:rPr>
              <w:t>0</w:t>
            </w: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-</w:t>
            </w:r>
            <w:r>
              <w:rPr>
                <w:rFonts w:ascii="仿宋_GB2312" w:hAnsi="Times New Roman" w:eastAsia="仿宋_GB2312" w:cs="Times New Roman"/>
                <w:sz w:val="24"/>
                <w:szCs w:val="24"/>
                <w:lang w:val="en-US" w:bidi="ar-SA"/>
              </w:rPr>
              <w:t>10</w:t>
            </w: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:0</w:t>
            </w:r>
            <w:r>
              <w:rPr>
                <w:rFonts w:ascii="仿宋_GB2312" w:hAnsi="Times New Roman" w:eastAsia="仿宋_GB2312" w:cs="Times New Roman"/>
                <w:sz w:val="24"/>
                <w:szCs w:val="24"/>
                <w:lang w:val="en-US" w:bidi="ar-SA"/>
              </w:rPr>
              <w:t>0</w:t>
            </w:r>
          </w:p>
        </w:tc>
        <w:tc>
          <w:tcPr>
            <w:tcW w:w="3867" w:type="dxa"/>
            <w:shd w:val="clear" w:color="auto" w:fill="auto"/>
            <w:vAlign w:val="center"/>
          </w:tcPr>
          <w:p w14:paraId="05DEF8F8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固定收益产品投资与管理——</w:t>
            </w:r>
          </w:p>
          <w:p w14:paraId="7D77E5FE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利率期限结构及应用</w:t>
            </w:r>
          </w:p>
        </w:tc>
        <w:tc>
          <w:tcPr>
            <w:tcW w:w="1993" w:type="dxa"/>
            <w:vMerge w:val="continue"/>
          </w:tcPr>
          <w:p w14:paraId="04C72426">
            <w:pPr>
              <w:jc w:val="both"/>
              <w:rPr>
                <w:sz w:val="24"/>
                <w:szCs w:val="24"/>
                <w:vertAlign w:val="baseline"/>
              </w:rPr>
            </w:pPr>
          </w:p>
        </w:tc>
      </w:tr>
      <w:tr w14:paraId="62F0FB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  <w:jc w:val="center"/>
        </w:trPr>
        <w:tc>
          <w:tcPr>
            <w:tcW w:w="1172" w:type="dxa"/>
            <w:vMerge w:val="continue"/>
          </w:tcPr>
          <w:p w14:paraId="642499A9">
            <w:pPr>
              <w:jc w:val="both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688" w:type="dxa"/>
            <w:vAlign w:val="center"/>
          </w:tcPr>
          <w:p w14:paraId="35658BB5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1</w:t>
            </w:r>
            <w:r>
              <w:rPr>
                <w:rFonts w:ascii="仿宋_GB2312" w:hAnsi="Times New Roman" w:eastAsia="仿宋_GB2312" w:cs="Times New Roman"/>
                <w:sz w:val="24"/>
                <w:szCs w:val="24"/>
                <w:lang w:val="en-US" w:bidi="ar-SA"/>
              </w:rPr>
              <w:t>0</w:t>
            </w: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:0</w:t>
            </w:r>
            <w:r>
              <w:rPr>
                <w:rFonts w:ascii="仿宋_GB2312" w:hAnsi="Times New Roman" w:eastAsia="仿宋_GB2312" w:cs="Times New Roman"/>
                <w:sz w:val="24"/>
                <w:szCs w:val="24"/>
                <w:lang w:val="en-US" w:bidi="ar-SA"/>
              </w:rPr>
              <w:t>0</w:t>
            </w: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-</w:t>
            </w:r>
            <w:r>
              <w:rPr>
                <w:rFonts w:ascii="仿宋_GB2312" w:hAnsi="Times New Roman" w:eastAsia="仿宋_GB2312" w:cs="Times New Roman"/>
                <w:sz w:val="24"/>
                <w:szCs w:val="24"/>
                <w:lang w:val="en-US" w:bidi="ar-SA"/>
              </w:rPr>
              <w:t>11</w:t>
            </w: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:0</w:t>
            </w:r>
            <w:r>
              <w:rPr>
                <w:rFonts w:ascii="仿宋_GB2312" w:hAnsi="Times New Roman" w:eastAsia="仿宋_GB2312" w:cs="Times New Roman"/>
                <w:sz w:val="24"/>
                <w:szCs w:val="24"/>
                <w:lang w:val="en-US" w:bidi="ar-SA"/>
              </w:rPr>
              <w:t>0</w:t>
            </w:r>
          </w:p>
        </w:tc>
        <w:tc>
          <w:tcPr>
            <w:tcW w:w="3867" w:type="dxa"/>
            <w:shd w:val="clear" w:color="auto" w:fill="auto"/>
            <w:vAlign w:val="center"/>
          </w:tcPr>
          <w:p w14:paraId="6BAB9C3E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固定收益产品投资与管理——</w:t>
            </w:r>
          </w:p>
          <w:p w14:paraId="75141B20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混合证券</w:t>
            </w:r>
          </w:p>
        </w:tc>
        <w:tc>
          <w:tcPr>
            <w:tcW w:w="1993" w:type="dxa"/>
            <w:vMerge w:val="continue"/>
          </w:tcPr>
          <w:p w14:paraId="37FD21FC">
            <w:pPr>
              <w:jc w:val="both"/>
              <w:rPr>
                <w:sz w:val="24"/>
                <w:szCs w:val="24"/>
                <w:vertAlign w:val="baseline"/>
              </w:rPr>
            </w:pPr>
          </w:p>
        </w:tc>
      </w:tr>
      <w:tr w14:paraId="6DF267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1" w:hRule="atLeast"/>
          <w:jc w:val="center"/>
        </w:trPr>
        <w:tc>
          <w:tcPr>
            <w:tcW w:w="1172" w:type="dxa"/>
            <w:vMerge w:val="continue"/>
          </w:tcPr>
          <w:p w14:paraId="173973D5">
            <w:pPr>
              <w:jc w:val="both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688" w:type="dxa"/>
            <w:vAlign w:val="center"/>
          </w:tcPr>
          <w:p w14:paraId="4161749D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1</w:t>
            </w:r>
            <w:r>
              <w:rPr>
                <w:rFonts w:ascii="仿宋_GB2312" w:hAnsi="Times New Roman" w:eastAsia="仿宋_GB2312" w:cs="Times New Roman"/>
                <w:sz w:val="24"/>
                <w:szCs w:val="24"/>
                <w:lang w:val="en-US" w:bidi="ar-SA"/>
              </w:rPr>
              <w:t>1</w:t>
            </w: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:0</w:t>
            </w:r>
            <w:r>
              <w:rPr>
                <w:rFonts w:ascii="仿宋_GB2312" w:hAnsi="Times New Roman" w:eastAsia="仿宋_GB2312" w:cs="Times New Roman"/>
                <w:sz w:val="24"/>
                <w:szCs w:val="24"/>
                <w:lang w:val="en-US" w:bidi="ar-SA"/>
              </w:rPr>
              <w:t>0</w:t>
            </w: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-</w:t>
            </w:r>
            <w:r>
              <w:rPr>
                <w:rFonts w:ascii="仿宋_GB2312" w:hAnsi="Times New Roman" w:eastAsia="仿宋_GB2312" w:cs="Times New Roman"/>
                <w:sz w:val="24"/>
                <w:szCs w:val="24"/>
                <w:lang w:val="en-US" w:bidi="ar-SA"/>
              </w:rPr>
              <w:t>12</w:t>
            </w: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:0</w:t>
            </w:r>
            <w:r>
              <w:rPr>
                <w:rFonts w:ascii="仿宋_GB2312" w:hAnsi="Times New Roman" w:eastAsia="仿宋_GB2312" w:cs="Times New Roman"/>
                <w:sz w:val="24"/>
                <w:szCs w:val="24"/>
                <w:lang w:val="en-US" w:bidi="ar-SA"/>
              </w:rPr>
              <w:t>0</w:t>
            </w:r>
          </w:p>
        </w:tc>
        <w:tc>
          <w:tcPr>
            <w:tcW w:w="3867" w:type="dxa"/>
            <w:shd w:val="clear" w:color="auto" w:fill="auto"/>
            <w:vAlign w:val="center"/>
          </w:tcPr>
          <w:p w14:paraId="46BBC2DB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固定收益产品投资与管理——</w:t>
            </w:r>
          </w:p>
          <w:p w14:paraId="73691E3B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信用风险和按揭贷款证券化</w:t>
            </w:r>
          </w:p>
        </w:tc>
        <w:tc>
          <w:tcPr>
            <w:tcW w:w="1993" w:type="dxa"/>
            <w:vMerge w:val="continue"/>
          </w:tcPr>
          <w:p w14:paraId="2B6F358D">
            <w:pPr>
              <w:jc w:val="both"/>
              <w:rPr>
                <w:sz w:val="24"/>
                <w:szCs w:val="24"/>
                <w:vertAlign w:val="baseline"/>
              </w:rPr>
            </w:pPr>
          </w:p>
        </w:tc>
      </w:tr>
      <w:tr w14:paraId="7EBF1D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172" w:type="dxa"/>
            <w:vMerge w:val="continue"/>
          </w:tcPr>
          <w:p w14:paraId="76A0B38F">
            <w:pPr>
              <w:jc w:val="both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688" w:type="dxa"/>
            <w:vAlign w:val="center"/>
          </w:tcPr>
          <w:p w14:paraId="09921F35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12:00-14:00</w:t>
            </w:r>
          </w:p>
        </w:tc>
        <w:tc>
          <w:tcPr>
            <w:tcW w:w="3867" w:type="dxa"/>
            <w:shd w:val="clear" w:color="auto" w:fill="auto"/>
            <w:vAlign w:val="center"/>
          </w:tcPr>
          <w:p w14:paraId="022A843D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  <w:t>午餐</w:t>
            </w:r>
          </w:p>
        </w:tc>
        <w:tc>
          <w:tcPr>
            <w:tcW w:w="1993" w:type="dxa"/>
            <w:vMerge w:val="continue"/>
          </w:tcPr>
          <w:p w14:paraId="29B2E2E0">
            <w:pPr>
              <w:jc w:val="both"/>
              <w:rPr>
                <w:sz w:val="24"/>
                <w:szCs w:val="24"/>
                <w:vertAlign w:val="baseline"/>
              </w:rPr>
            </w:pPr>
          </w:p>
        </w:tc>
      </w:tr>
      <w:tr w14:paraId="4DA84C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1172" w:type="dxa"/>
            <w:vMerge w:val="continue"/>
          </w:tcPr>
          <w:p w14:paraId="4777443E">
            <w:pPr>
              <w:jc w:val="both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688" w:type="dxa"/>
            <w:vAlign w:val="center"/>
          </w:tcPr>
          <w:p w14:paraId="45DBA713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  <w:t>14：00-15：00</w:t>
            </w:r>
          </w:p>
        </w:tc>
        <w:tc>
          <w:tcPr>
            <w:tcW w:w="3867" w:type="dxa"/>
            <w:shd w:val="clear" w:color="auto" w:fill="auto"/>
            <w:vAlign w:val="center"/>
          </w:tcPr>
          <w:p w14:paraId="027CCBD7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固定收益产品投资与管理——</w:t>
            </w:r>
          </w:p>
          <w:p w14:paraId="157327AC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资产抵押债券</w:t>
            </w:r>
          </w:p>
        </w:tc>
        <w:tc>
          <w:tcPr>
            <w:tcW w:w="1993" w:type="dxa"/>
            <w:vMerge w:val="continue"/>
          </w:tcPr>
          <w:p w14:paraId="13153B01">
            <w:pPr>
              <w:jc w:val="both"/>
              <w:rPr>
                <w:sz w:val="24"/>
                <w:szCs w:val="24"/>
                <w:vertAlign w:val="baseline"/>
              </w:rPr>
            </w:pPr>
          </w:p>
        </w:tc>
      </w:tr>
      <w:tr w14:paraId="12BB79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  <w:jc w:val="center"/>
        </w:trPr>
        <w:tc>
          <w:tcPr>
            <w:tcW w:w="1172" w:type="dxa"/>
            <w:vMerge w:val="continue"/>
          </w:tcPr>
          <w:p w14:paraId="65D99BE2">
            <w:pPr>
              <w:jc w:val="both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688" w:type="dxa"/>
            <w:vAlign w:val="center"/>
          </w:tcPr>
          <w:p w14:paraId="15D9F5CE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  <w:t>15：00-17：00</w:t>
            </w:r>
          </w:p>
        </w:tc>
        <w:tc>
          <w:tcPr>
            <w:tcW w:w="3867" w:type="dxa"/>
            <w:shd w:val="clear" w:color="auto" w:fill="auto"/>
            <w:vAlign w:val="center"/>
          </w:tcPr>
          <w:p w14:paraId="131829E6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固定收益产品投资与管理——</w:t>
            </w:r>
          </w:p>
          <w:p w14:paraId="1DD6C098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bidi="ar-SA"/>
              </w:rPr>
              <w:t>固定收益证券组合管理策略</w:t>
            </w:r>
          </w:p>
        </w:tc>
        <w:tc>
          <w:tcPr>
            <w:tcW w:w="1993" w:type="dxa"/>
            <w:vMerge w:val="continue"/>
          </w:tcPr>
          <w:p w14:paraId="62E586EE">
            <w:pPr>
              <w:widowControl/>
              <w:autoSpaceDE/>
              <w:autoSpaceDN/>
              <w:jc w:val="center"/>
              <w:rPr>
                <w:sz w:val="24"/>
                <w:szCs w:val="24"/>
                <w:vertAlign w:val="baseline"/>
              </w:rPr>
            </w:pPr>
          </w:p>
        </w:tc>
      </w:tr>
    </w:tbl>
    <w:p w14:paraId="041A682E">
      <w:pPr>
        <w:rPr>
          <w:sz w:val="24"/>
          <w:szCs w:val="24"/>
          <w:lang w:val="en-US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6C134C"/>
    <w:rsid w:val="01D31020"/>
    <w:rsid w:val="02820350"/>
    <w:rsid w:val="03815A8A"/>
    <w:rsid w:val="04ED1E76"/>
    <w:rsid w:val="076D1C6F"/>
    <w:rsid w:val="08713C75"/>
    <w:rsid w:val="09C11BC8"/>
    <w:rsid w:val="09F47D86"/>
    <w:rsid w:val="0A756DD7"/>
    <w:rsid w:val="170759DD"/>
    <w:rsid w:val="17DA7926"/>
    <w:rsid w:val="1D6252A2"/>
    <w:rsid w:val="204F1D62"/>
    <w:rsid w:val="24646187"/>
    <w:rsid w:val="271F1C88"/>
    <w:rsid w:val="2A7319B4"/>
    <w:rsid w:val="2D6F496A"/>
    <w:rsid w:val="2DD1025A"/>
    <w:rsid w:val="34FB5C3B"/>
    <w:rsid w:val="36411819"/>
    <w:rsid w:val="38D40C1D"/>
    <w:rsid w:val="3BB71A45"/>
    <w:rsid w:val="43D95A8F"/>
    <w:rsid w:val="452A22D2"/>
    <w:rsid w:val="47F60A11"/>
    <w:rsid w:val="4909304D"/>
    <w:rsid w:val="4DDD3239"/>
    <w:rsid w:val="4FC21BC6"/>
    <w:rsid w:val="51711289"/>
    <w:rsid w:val="51D971C0"/>
    <w:rsid w:val="53066529"/>
    <w:rsid w:val="53591A4C"/>
    <w:rsid w:val="55371FE9"/>
    <w:rsid w:val="55F25196"/>
    <w:rsid w:val="5A5C6FA7"/>
    <w:rsid w:val="5CC22998"/>
    <w:rsid w:val="602C1457"/>
    <w:rsid w:val="609F7CC5"/>
    <w:rsid w:val="622F1785"/>
    <w:rsid w:val="675445CD"/>
    <w:rsid w:val="6ABC136F"/>
    <w:rsid w:val="6B427AC6"/>
    <w:rsid w:val="6C215B5D"/>
    <w:rsid w:val="72505D04"/>
    <w:rsid w:val="73BB39F5"/>
    <w:rsid w:val="782B3690"/>
    <w:rsid w:val="79B867C9"/>
    <w:rsid w:val="7BAC1798"/>
    <w:rsid w:val="7E167407"/>
    <w:rsid w:val="7E6536A2"/>
    <w:rsid w:val="7F3648B6"/>
    <w:rsid w:val="7FD12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微软雅黑" w:hAnsi="微软雅黑" w:eastAsia="微软雅黑" w:cs="微软雅黑"/>
      <w:sz w:val="22"/>
      <w:szCs w:val="22"/>
      <w:lang w:val="zh-CN" w:eastAsia="zh-CN" w:bidi="zh-CN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302</Words>
  <Characters>414</Characters>
  <Lines>0</Lines>
  <Paragraphs>0</Paragraphs>
  <TotalTime>6</TotalTime>
  <ScaleCrop>false</ScaleCrop>
  <LinksUpToDate>false</LinksUpToDate>
  <CharactersWithSpaces>415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2025-06-11T02:17:00Z</dcterms:created>
  <cp:lastModifiedBy>guoyx</cp:lastModifiedBy>
  <dcterms:modified xsi:type="dcterms:W3CDTF">2025-09-01T02:02:14Z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eyJoZGlkIjoiNWM2M2Q3MzJiN2FlMGRiZWMyNzRjYzdjYWFjM2E3NjIiLCJ1c2VySWQiOiI1NjUwMzk2NzcifQ==</vt:lpwstr>
  </property>
  <property fmtid="{D5CDD505-2E9C-101B-9397-08002B2CF9AE}" pid="4" name="ICV">
    <vt:lpwstr>6D1C1BE67F074503BECEC90DD23DBCA5_12</vt:lpwstr>
  </property>
</Properties>
</file>