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A28851">
      <w:pPr>
        <w:rPr>
          <w:rFonts w:hint="eastAsia" w:ascii="仿宋_GB2312" w:hAnsi="华文中宋" w:eastAsia="仿宋_GB2312"/>
          <w:bCs/>
          <w:sz w:val="32"/>
          <w:szCs w:val="32"/>
          <w:lang w:eastAsia="zh-CN"/>
        </w:rPr>
      </w:pPr>
      <w:r>
        <w:rPr>
          <w:rFonts w:hint="eastAsia" w:ascii="仿宋_GB2312" w:hAnsi="华文中宋" w:eastAsia="仿宋_GB2312"/>
          <w:bCs/>
          <w:sz w:val="32"/>
          <w:szCs w:val="32"/>
        </w:rPr>
        <w:t>附件</w:t>
      </w:r>
      <w:r>
        <w:rPr>
          <w:rFonts w:hint="eastAsia" w:ascii="仿宋_GB2312" w:hAnsi="华文中宋" w:eastAsia="仿宋_GB2312"/>
          <w:bCs/>
          <w:sz w:val="32"/>
          <w:szCs w:val="32"/>
          <w:lang w:val="en-US" w:eastAsia="zh-CN"/>
        </w:rPr>
        <w:t>1</w:t>
      </w:r>
      <w:bookmarkStart w:id="0" w:name="_GoBack"/>
      <w:bookmarkEnd w:id="0"/>
    </w:p>
    <w:p w14:paraId="0EE7878B">
      <w:pPr>
        <w:jc w:val="center"/>
        <w:rPr>
          <w:rFonts w:ascii="华文中宋" w:hAnsi="华文中宋" w:eastAsia="华文中宋"/>
          <w:b/>
          <w:sz w:val="36"/>
          <w:szCs w:val="36"/>
        </w:rPr>
      </w:pPr>
    </w:p>
    <w:p w14:paraId="1E756156">
      <w:pPr>
        <w:jc w:val="center"/>
        <w:rPr>
          <w:rFonts w:hint="eastAsia" w:ascii="方正小标宋简体" w:hAnsi="华文中宋" w:eastAsia="方正小标宋简体"/>
          <w:b/>
          <w:sz w:val="36"/>
          <w:szCs w:val="36"/>
        </w:rPr>
      </w:pPr>
      <w:r>
        <w:rPr>
          <w:rFonts w:hint="eastAsia" w:ascii="方正小标宋简体" w:hAnsi="华文中宋" w:eastAsia="方正小标宋简体"/>
          <w:b/>
          <w:sz w:val="36"/>
          <w:szCs w:val="36"/>
        </w:rPr>
        <w:t>课程安排</w:t>
      </w:r>
    </w:p>
    <w:p w14:paraId="22E4A6ED">
      <w:pPr>
        <w:jc w:val="center"/>
        <w:rPr>
          <w:rFonts w:hint="eastAsia" w:ascii="华文中宋" w:hAnsi="华文中宋" w:eastAsia="华文中宋"/>
          <w:b/>
          <w:sz w:val="36"/>
          <w:szCs w:val="36"/>
        </w:rPr>
      </w:pPr>
    </w:p>
    <w:p w14:paraId="7174EE2F">
      <w:pPr>
        <w:jc w:val="both"/>
        <w:rPr>
          <w:rFonts w:hint="eastAsia" w:ascii="仿宋_GB2312" w:hAnsi="华文中宋" w:eastAsia="仿宋_GB2312"/>
          <w:sz w:val="24"/>
          <w:szCs w:val="24"/>
          <w:lang w:val="en-US"/>
        </w:rPr>
      </w:pPr>
      <w:r>
        <w:rPr>
          <w:rFonts w:hint="eastAsia" w:ascii="仿宋_GB2312" w:hAnsi="华文中宋" w:eastAsia="仿宋_GB2312"/>
          <w:sz w:val="24"/>
          <w:szCs w:val="24"/>
        </w:rPr>
        <w:t>培训地点：</w:t>
      </w:r>
      <w:r>
        <w:rPr>
          <w:rFonts w:hint="eastAsia" w:ascii="仿宋_GB2312" w:hAnsi="华文中宋" w:eastAsia="仿宋_GB2312"/>
          <w:sz w:val="24"/>
          <w:szCs w:val="24"/>
          <w:lang w:val="en-US"/>
        </w:rPr>
        <w:t>杭州滨江开元名都大酒店 五层锦绣厅</w:t>
      </w:r>
    </w:p>
    <w:tbl>
      <w:tblPr>
        <w:tblStyle w:val="5"/>
        <w:tblW w:w="498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3"/>
        <w:gridCol w:w="1454"/>
        <w:gridCol w:w="3844"/>
        <w:gridCol w:w="2144"/>
      </w:tblGrid>
      <w:tr w14:paraId="7FCC2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745" w:type="pct"/>
            <w:shd w:val="clear" w:color="000000" w:fill="D0CECE"/>
            <w:vAlign w:val="center"/>
          </w:tcPr>
          <w:p w14:paraId="5890DB43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日期</w:t>
            </w:r>
          </w:p>
        </w:tc>
        <w:tc>
          <w:tcPr>
            <w:tcW w:w="831" w:type="pct"/>
            <w:shd w:val="clear" w:color="000000" w:fill="D0CECE"/>
            <w:vAlign w:val="center"/>
          </w:tcPr>
          <w:p w14:paraId="7642285B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时间</w:t>
            </w:r>
          </w:p>
        </w:tc>
        <w:tc>
          <w:tcPr>
            <w:tcW w:w="2197" w:type="pct"/>
            <w:shd w:val="clear" w:color="000000" w:fill="D0CECE"/>
            <w:vAlign w:val="center"/>
          </w:tcPr>
          <w:p w14:paraId="324C3455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培训安排</w:t>
            </w:r>
          </w:p>
        </w:tc>
        <w:tc>
          <w:tcPr>
            <w:tcW w:w="1225" w:type="pct"/>
            <w:shd w:val="clear" w:color="000000" w:fill="D0CECE"/>
            <w:vAlign w:val="center"/>
          </w:tcPr>
          <w:p w14:paraId="04283478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授课讲师</w:t>
            </w:r>
          </w:p>
        </w:tc>
      </w:tr>
      <w:tr w14:paraId="7A1A0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745" w:type="pct"/>
            <w:vMerge w:val="restart"/>
            <w:shd w:val="clear" w:color="auto" w:fill="auto"/>
            <w:vAlign w:val="center"/>
          </w:tcPr>
          <w:p w14:paraId="01E04BDF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10月29日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br w:type="textWrapping"/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星期三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52F35CC5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9:00-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12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5493D285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财务报表粉饰识别——财务报表粉饰识别概论</w:t>
            </w:r>
          </w:p>
        </w:tc>
        <w:tc>
          <w:tcPr>
            <w:tcW w:w="1225" w:type="pct"/>
            <w:vMerge w:val="restart"/>
            <w:shd w:val="clear" w:color="auto" w:fill="auto"/>
            <w:vAlign w:val="center"/>
          </w:tcPr>
          <w:p w14:paraId="2C19F6E2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中信证券</w:t>
            </w:r>
          </w:p>
          <w:p w14:paraId="53DFBC88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研究部财务组首席分析师 林小驰</w:t>
            </w:r>
          </w:p>
        </w:tc>
      </w:tr>
      <w:tr w14:paraId="54F81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5" w:type="pct"/>
            <w:vMerge w:val="continue"/>
            <w:vAlign w:val="center"/>
          </w:tcPr>
          <w:p w14:paraId="0873CF33">
            <w:pPr>
              <w:widowControl/>
              <w:autoSpaceDE/>
              <w:autoSpaceDN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1F8279AD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2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14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29873063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午餐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4DE4512B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</w:p>
        </w:tc>
      </w:tr>
      <w:tr w14:paraId="5AC5D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745" w:type="pct"/>
            <w:vMerge w:val="continue"/>
            <w:vAlign w:val="center"/>
          </w:tcPr>
          <w:p w14:paraId="1AF74850">
            <w:pPr>
              <w:widowControl/>
              <w:autoSpaceDE/>
              <w:autoSpaceDN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70A0AE59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4:00-17:00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70E8993A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财务报表粉饰识别——财务报表粉饰手法与识别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2EC95B95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</w:p>
        </w:tc>
      </w:tr>
      <w:tr w14:paraId="578C3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745" w:type="pct"/>
            <w:vMerge w:val="restart"/>
            <w:shd w:val="clear" w:color="auto" w:fill="auto"/>
            <w:vAlign w:val="center"/>
          </w:tcPr>
          <w:p w14:paraId="4B863F4D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10月30日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br w:type="textWrapping"/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星期四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519E5641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9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:00-12:00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76C39B55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财务报表粉饰识别——财务报表粉饰手法与识别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0BAAEEBF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</w:p>
        </w:tc>
      </w:tr>
      <w:tr w14:paraId="79ECE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5" w:type="pct"/>
            <w:vMerge w:val="continue"/>
            <w:shd w:val="clear" w:color="auto" w:fill="auto"/>
            <w:vAlign w:val="center"/>
          </w:tcPr>
          <w:p w14:paraId="7FAAC2A3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30AE9568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12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14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051AB457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午餐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1549568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</w:p>
        </w:tc>
      </w:tr>
      <w:tr w14:paraId="0FA9C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745" w:type="pct"/>
            <w:vMerge w:val="continue"/>
            <w:shd w:val="clear" w:color="auto" w:fill="auto"/>
            <w:vAlign w:val="center"/>
          </w:tcPr>
          <w:p w14:paraId="78E66309">
            <w:pPr>
              <w:widowControl/>
              <w:autoSpaceDE/>
              <w:autoSpaceDN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16115548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4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17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47B356A9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财务报表粉饰识别——财务报表粉饰信号及案例分析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642F3373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</w:p>
        </w:tc>
      </w:tr>
      <w:tr w14:paraId="778539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45" w:type="pct"/>
            <w:vMerge w:val="restart"/>
            <w:shd w:val="clear" w:color="auto" w:fill="auto"/>
            <w:vAlign w:val="center"/>
          </w:tcPr>
          <w:p w14:paraId="0412A028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10月31日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br w:type="textWrapping"/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星期五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1E21CDDB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9:00-10:00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582EC4F5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并购估值建模——并购交易的估值方法</w:t>
            </w:r>
          </w:p>
        </w:tc>
        <w:tc>
          <w:tcPr>
            <w:tcW w:w="1225" w:type="pct"/>
            <w:vMerge w:val="restart"/>
            <w:shd w:val="clear" w:color="auto" w:fill="auto"/>
            <w:vAlign w:val="center"/>
          </w:tcPr>
          <w:p w14:paraId="0528F022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国联民生证券</w:t>
            </w:r>
          </w:p>
          <w:p w14:paraId="71601CE1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研究所执行总经理、前瞻研究负责人 郭荆璞</w:t>
            </w:r>
          </w:p>
        </w:tc>
      </w:tr>
      <w:tr w14:paraId="574ED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45" w:type="pct"/>
            <w:vMerge w:val="continue"/>
            <w:shd w:val="clear" w:color="auto" w:fill="auto"/>
            <w:vAlign w:val="center"/>
          </w:tcPr>
          <w:p w14:paraId="3906BD5D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402CC199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3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28298E6A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并购估值建模——并购估值的行业分析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6C5BB79F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Cs w:val="28"/>
                <w:lang w:val="en-US" w:bidi="ar-SA"/>
              </w:rPr>
            </w:pPr>
          </w:p>
        </w:tc>
      </w:tr>
      <w:tr w14:paraId="54771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45" w:type="pct"/>
            <w:vMerge w:val="continue"/>
            <w:shd w:val="clear" w:color="auto" w:fill="auto"/>
            <w:vAlign w:val="center"/>
          </w:tcPr>
          <w:p w14:paraId="2A20C9F8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4DDF8200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:30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-11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:3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2DFB079C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并购估值建模——并购估值标的企业分析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0790DD30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Cs w:val="28"/>
                <w:lang w:val="en-US" w:bidi="ar-SA"/>
              </w:rPr>
            </w:pPr>
          </w:p>
        </w:tc>
      </w:tr>
      <w:tr w14:paraId="7D6DB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45" w:type="pct"/>
            <w:vMerge w:val="continue"/>
            <w:shd w:val="clear" w:color="auto" w:fill="auto"/>
            <w:vAlign w:val="center"/>
          </w:tcPr>
          <w:p w14:paraId="6AE93238">
            <w:pPr>
              <w:widowControl/>
              <w:autoSpaceDE/>
              <w:autoSpaceDN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67E37232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30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13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30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4AA5F309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午餐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7A2657C8">
            <w:pPr>
              <w:jc w:val="center"/>
              <w:rPr>
                <w:rFonts w:ascii="仿宋_GB2312" w:hAnsi="Times New Roman" w:eastAsia="仿宋_GB2312" w:cs="Times New Roman"/>
                <w:szCs w:val="28"/>
                <w:lang w:val="en-US" w:bidi="ar-SA"/>
              </w:rPr>
            </w:pPr>
          </w:p>
        </w:tc>
      </w:tr>
      <w:tr w14:paraId="7FCA6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45" w:type="pct"/>
            <w:vMerge w:val="continue"/>
            <w:shd w:val="clear" w:color="auto" w:fill="auto"/>
            <w:vAlign w:val="center"/>
          </w:tcPr>
          <w:p w14:paraId="5BE37462">
            <w:pPr>
              <w:widowControl/>
              <w:autoSpaceDE/>
              <w:autoSpaceDN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658CF23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3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30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14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30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32861F7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并购估值建模——并购估值的特殊事项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28CE3963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Cs w:val="28"/>
                <w:lang w:val="en-US" w:bidi="ar-SA"/>
              </w:rPr>
            </w:pPr>
          </w:p>
        </w:tc>
      </w:tr>
      <w:tr w14:paraId="13E58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45" w:type="pct"/>
            <w:vMerge w:val="continue"/>
            <w:shd w:val="clear" w:color="auto" w:fill="auto"/>
            <w:vAlign w:val="center"/>
          </w:tcPr>
          <w:p w14:paraId="002406F5">
            <w:pPr>
              <w:widowControl/>
              <w:autoSpaceDE/>
              <w:autoSpaceDN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078E08C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14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30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16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0B7F9141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并购估值建模——并购实务当中估值方法的选择及案例分析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1D14F45C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Cs w:val="28"/>
                <w:lang w:val="en-US" w:bidi="ar-SA"/>
              </w:rPr>
            </w:pPr>
          </w:p>
        </w:tc>
      </w:tr>
      <w:tr w14:paraId="4C1A3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45" w:type="pct"/>
            <w:vMerge w:val="continue"/>
            <w:shd w:val="clear" w:color="auto" w:fill="auto"/>
            <w:vAlign w:val="center"/>
          </w:tcPr>
          <w:p w14:paraId="0AC18B86">
            <w:pPr>
              <w:widowControl/>
              <w:autoSpaceDE/>
              <w:autoSpaceDN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831" w:type="pct"/>
            <w:shd w:val="clear" w:color="auto" w:fill="auto"/>
            <w:vAlign w:val="center"/>
          </w:tcPr>
          <w:p w14:paraId="26DA6B11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6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:00-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17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</w:p>
        </w:tc>
        <w:tc>
          <w:tcPr>
            <w:tcW w:w="2197" w:type="pct"/>
            <w:shd w:val="clear" w:color="auto" w:fill="auto"/>
            <w:vAlign w:val="center"/>
          </w:tcPr>
          <w:p w14:paraId="3F72649A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并购估值建模——相关案例详细分析</w:t>
            </w:r>
          </w:p>
        </w:tc>
        <w:tc>
          <w:tcPr>
            <w:tcW w:w="1225" w:type="pct"/>
            <w:vMerge w:val="continue"/>
            <w:shd w:val="clear" w:color="auto" w:fill="auto"/>
            <w:vAlign w:val="center"/>
          </w:tcPr>
          <w:p w14:paraId="34F31DF8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Cs w:val="28"/>
                <w:lang w:val="en-US" w:bidi="ar-SA"/>
              </w:rPr>
            </w:pPr>
          </w:p>
        </w:tc>
      </w:tr>
    </w:tbl>
    <w:p w14:paraId="0A5B80B9">
      <w:pPr>
        <w:rPr>
          <w:rFonts w:hint="eastAsia"/>
          <w:lang w:val="en-US"/>
        </w:rPr>
      </w:pPr>
    </w:p>
    <w:sectPr>
      <w:type w:val="continuous"/>
      <w:pgSz w:w="11910" w:h="16840"/>
      <w:pgMar w:top="1500" w:right="1680" w:bottom="280" w:left="168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dit="trackedChanges" w:enforcement="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M2M2Q3MzJiN2FlMGRiZWMyNzRjYzdjYWFjM2E3NjIifQ=="/>
  </w:docVars>
  <w:rsids>
    <w:rsidRoot w:val="00E42112"/>
    <w:rsid w:val="00017162"/>
    <w:rsid w:val="0001790D"/>
    <w:rsid w:val="000277D9"/>
    <w:rsid w:val="00033E03"/>
    <w:rsid w:val="00046997"/>
    <w:rsid w:val="000556B7"/>
    <w:rsid w:val="000739BB"/>
    <w:rsid w:val="00084368"/>
    <w:rsid w:val="000B6769"/>
    <w:rsid w:val="000E498E"/>
    <w:rsid w:val="001312B3"/>
    <w:rsid w:val="00133D86"/>
    <w:rsid w:val="00141C29"/>
    <w:rsid w:val="0018018B"/>
    <w:rsid w:val="001836F8"/>
    <w:rsid w:val="0019422B"/>
    <w:rsid w:val="0019598A"/>
    <w:rsid w:val="001B57F9"/>
    <w:rsid w:val="001C1523"/>
    <w:rsid w:val="001D2F66"/>
    <w:rsid w:val="001D6404"/>
    <w:rsid w:val="00246B01"/>
    <w:rsid w:val="00257AC4"/>
    <w:rsid w:val="00270D79"/>
    <w:rsid w:val="002754C1"/>
    <w:rsid w:val="002C78D1"/>
    <w:rsid w:val="002D6013"/>
    <w:rsid w:val="002F1FA4"/>
    <w:rsid w:val="003415C4"/>
    <w:rsid w:val="00347A2B"/>
    <w:rsid w:val="00366907"/>
    <w:rsid w:val="00370157"/>
    <w:rsid w:val="00385B62"/>
    <w:rsid w:val="003955EA"/>
    <w:rsid w:val="003D5FF0"/>
    <w:rsid w:val="003E05B8"/>
    <w:rsid w:val="003F32B3"/>
    <w:rsid w:val="00412552"/>
    <w:rsid w:val="00423549"/>
    <w:rsid w:val="00486844"/>
    <w:rsid w:val="004955D1"/>
    <w:rsid w:val="004A2BD0"/>
    <w:rsid w:val="004D5EE5"/>
    <w:rsid w:val="004F10C6"/>
    <w:rsid w:val="0055188D"/>
    <w:rsid w:val="005F7BB2"/>
    <w:rsid w:val="00617FD9"/>
    <w:rsid w:val="006247AD"/>
    <w:rsid w:val="00660319"/>
    <w:rsid w:val="00661249"/>
    <w:rsid w:val="006632F3"/>
    <w:rsid w:val="00670FEF"/>
    <w:rsid w:val="00672D69"/>
    <w:rsid w:val="00685620"/>
    <w:rsid w:val="006A68EB"/>
    <w:rsid w:val="006C12A2"/>
    <w:rsid w:val="006D72C6"/>
    <w:rsid w:val="00732F5B"/>
    <w:rsid w:val="0073540E"/>
    <w:rsid w:val="0076430F"/>
    <w:rsid w:val="007A7402"/>
    <w:rsid w:val="007D1956"/>
    <w:rsid w:val="007D348A"/>
    <w:rsid w:val="00823D76"/>
    <w:rsid w:val="00831171"/>
    <w:rsid w:val="008366C2"/>
    <w:rsid w:val="00845C76"/>
    <w:rsid w:val="008B1EAA"/>
    <w:rsid w:val="00936C5E"/>
    <w:rsid w:val="00951A61"/>
    <w:rsid w:val="00955633"/>
    <w:rsid w:val="00997B86"/>
    <w:rsid w:val="009C7C42"/>
    <w:rsid w:val="009D36A5"/>
    <w:rsid w:val="009E2B24"/>
    <w:rsid w:val="009E4DBE"/>
    <w:rsid w:val="00A33651"/>
    <w:rsid w:val="00A44B55"/>
    <w:rsid w:val="00A71836"/>
    <w:rsid w:val="00A759CA"/>
    <w:rsid w:val="00AB00B7"/>
    <w:rsid w:val="00AD191F"/>
    <w:rsid w:val="00AE03DA"/>
    <w:rsid w:val="00AF1CB1"/>
    <w:rsid w:val="00B14635"/>
    <w:rsid w:val="00B450D5"/>
    <w:rsid w:val="00BA0DF5"/>
    <w:rsid w:val="00BB2BE6"/>
    <w:rsid w:val="00BD2E40"/>
    <w:rsid w:val="00BE3DE9"/>
    <w:rsid w:val="00BE590E"/>
    <w:rsid w:val="00C04D04"/>
    <w:rsid w:val="00C04D77"/>
    <w:rsid w:val="00C07B61"/>
    <w:rsid w:val="00C1380A"/>
    <w:rsid w:val="00C17E5D"/>
    <w:rsid w:val="00C20D55"/>
    <w:rsid w:val="00C32A51"/>
    <w:rsid w:val="00CA56CC"/>
    <w:rsid w:val="00CB5D31"/>
    <w:rsid w:val="00CC39AB"/>
    <w:rsid w:val="00D0432F"/>
    <w:rsid w:val="00D57FAA"/>
    <w:rsid w:val="00D61A25"/>
    <w:rsid w:val="00D85A2F"/>
    <w:rsid w:val="00D91F42"/>
    <w:rsid w:val="00DC461E"/>
    <w:rsid w:val="00DE62DE"/>
    <w:rsid w:val="00DF4108"/>
    <w:rsid w:val="00DF6703"/>
    <w:rsid w:val="00DF74C3"/>
    <w:rsid w:val="00E019E0"/>
    <w:rsid w:val="00E06ACD"/>
    <w:rsid w:val="00E14B2B"/>
    <w:rsid w:val="00E42112"/>
    <w:rsid w:val="00EA4FFA"/>
    <w:rsid w:val="00F30C62"/>
    <w:rsid w:val="00F35A62"/>
    <w:rsid w:val="00F665C4"/>
    <w:rsid w:val="00F813AA"/>
    <w:rsid w:val="00F9642B"/>
    <w:rsid w:val="00F97EB2"/>
    <w:rsid w:val="00FC6582"/>
    <w:rsid w:val="00FF56F9"/>
    <w:rsid w:val="00FF6D17"/>
    <w:rsid w:val="0E044A8C"/>
    <w:rsid w:val="1EF76B47"/>
    <w:rsid w:val="2BFC14B8"/>
    <w:rsid w:val="2DB269A2"/>
    <w:rsid w:val="36890A9A"/>
    <w:rsid w:val="40E411B1"/>
    <w:rsid w:val="436D47A0"/>
    <w:rsid w:val="43981400"/>
    <w:rsid w:val="485B37B2"/>
    <w:rsid w:val="48EE669A"/>
    <w:rsid w:val="491C4FAB"/>
    <w:rsid w:val="58A85186"/>
    <w:rsid w:val="593D15AA"/>
    <w:rsid w:val="71BC0DA4"/>
    <w:rsid w:val="7DEB5BF6"/>
    <w:rsid w:val="D5FFF931"/>
    <w:rsid w:val="DE7D3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微软雅黑" w:hAnsi="微软雅黑" w:eastAsia="微软雅黑" w:cs="微软雅黑"/>
      <w:sz w:val="22"/>
      <w:szCs w:val="22"/>
      <w:lang w:val="zh-CN" w:eastAsia="zh-CN" w:bidi="zh-CN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24"/>
      <w:szCs w:val="24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</w:style>
  <w:style w:type="paragraph" w:customStyle="1" w:styleId="10">
    <w:name w:val="Table Paragraph"/>
    <w:basedOn w:val="1"/>
    <w:qFormat/>
    <w:uiPriority w:val="1"/>
    <w:pPr>
      <w:spacing w:before="118"/>
      <w:jc w:val="center"/>
    </w:pPr>
  </w:style>
  <w:style w:type="character" w:customStyle="1" w:styleId="11">
    <w:name w:val="页眉 字符"/>
    <w:basedOn w:val="7"/>
    <w:link w:val="4"/>
    <w:qFormat/>
    <w:uiPriority w:val="99"/>
    <w:rPr>
      <w:rFonts w:ascii="微软雅黑" w:hAnsi="微软雅黑" w:eastAsia="微软雅黑" w:cs="微软雅黑"/>
      <w:sz w:val="18"/>
      <w:szCs w:val="18"/>
      <w:lang w:val="zh-CN" w:eastAsia="zh-CN" w:bidi="zh-CN"/>
    </w:rPr>
  </w:style>
  <w:style w:type="character" w:customStyle="1" w:styleId="12">
    <w:name w:val="页脚 字符"/>
    <w:basedOn w:val="7"/>
    <w:link w:val="3"/>
    <w:qFormat/>
    <w:uiPriority w:val="99"/>
    <w:rPr>
      <w:rFonts w:ascii="微软雅黑" w:hAnsi="微软雅黑" w:eastAsia="微软雅黑" w:cs="微软雅黑"/>
      <w:sz w:val="18"/>
      <w:szCs w:val="18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322</Words>
  <Characters>455</Characters>
  <Lines>3</Lines>
  <Paragraphs>1</Paragraphs>
  <TotalTime>4</TotalTime>
  <ScaleCrop>false</ScaleCrop>
  <LinksUpToDate>false</LinksUpToDate>
  <CharactersWithSpaces>458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2023-08-15T07:57:00Z</dcterms:created>
  <dc:creator>留 舍</dc:creator>
  <cp:lastModifiedBy>guoyx</cp:lastModifiedBy>
  <dcterms:modified xsi:type="dcterms:W3CDTF">2025-10-14T07:34:52Z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2019-05-06T00:00:00Z</vt:filetime>
  </property>
  <property fmtid="{D5CDD505-2E9C-101B-9397-08002B2CF9AE}" pid="5" name="KSOProductBuildVer">
    <vt:lpwstr>2052-12.1.0.22529</vt:lpwstr>
  </property>
  <property fmtid="{D5CDD505-2E9C-101B-9397-08002B2CF9AE}" pid="6" name="ICV">
    <vt:lpwstr>9FDCCBE1B5B14530B1A2E481E45F4226_12</vt:lpwstr>
  </property>
  <property fmtid="{D5CDD505-2E9C-101B-9397-08002B2CF9AE}" pid="7" name="KSOTemplateDocerSaveRecord">
    <vt:lpwstr>eyJoZGlkIjoiNWM2M2Q3MzJiN2FlMGRiZWMyNzRjYzdjYWFjM2E3NjIiLCJ1c2VySWQiOiI1NjUwMzk2NzcifQ==</vt:lpwstr>
  </property>
</Properties>
</file>