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A28851">
      <w:pPr>
        <w:rPr>
          <w:rFonts w:hint="eastAsia" w:ascii="仿宋_GB2312" w:hAnsi="华文中宋" w:eastAsia="仿宋_GB2312"/>
          <w:bCs/>
          <w:sz w:val="32"/>
          <w:szCs w:val="32"/>
        </w:rPr>
      </w:pPr>
      <w:r>
        <w:rPr>
          <w:rFonts w:hint="eastAsia" w:ascii="仿宋_GB2312" w:hAnsi="华文中宋" w:eastAsia="仿宋_GB2312"/>
          <w:bCs/>
          <w:sz w:val="32"/>
          <w:szCs w:val="32"/>
        </w:rPr>
        <w:t>附件2</w:t>
      </w:r>
    </w:p>
    <w:p w14:paraId="1E756156">
      <w:pPr>
        <w:jc w:val="center"/>
        <w:rPr>
          <w:rFonts w:hint="eastAsia" w:ascii="方正小标宋简体" w:hAnsi="华文中宋" w:eastAsia="方正小标宋简体"/>
          <w:b/>
          <w:sz w:val="36"/>
          <w:szCs w:val="36"/>
        </w:rPr>
      </w:pPr>
      <w:r>
        <w:rPr>
          <w:rFonts w:hint="eastAsia" w:ascii="方正小标宋简体" w:hAnsi="华文中宋" w:eastAsia="方正小标宋简体"/>
          <w:b/>
          <w:sz w:val="36"/>
          <w:szCs w:val="36"/>
        </w:rPr>
        <w:t>课程安排</w:t>
      </w:r>
      <w:bookmarkStart w:id="0" w:name="_GoBack"/>
      <w:bookmarkEnd w:id="0"/>
    </w:p>
    <w:p w14:paraId="22E4A6ED">
      <w:pPr>
        <w:jc w:val="center"/>
        <w:rPr>
          <w:rFonts w:hint="eastAsia" w:ascii="华文中宋" w:hAnsi="华文中宋" w:eastAsia="华文中宋"/>
          <w:b/>
          <w:sz w:val="36"/>
          <w:szCs w:val="36"/>
        </w:rPr>
      </w:pPr>
    </w:p>
    <w:p w14:paraId="5E120A80">
      <w:pPr>
        <w:jc w:val="both"/>
        <w:rPr>
          <w:rFonts w:hint="eastAsia" w:ascii="华文中宋" w:hAnsi="华文中宋" w:eastAsia="华文中宋"/>
          <w:b/>
          <w:sz w:val="36"/>
          <w:szCs w:val="36"/>
        </w:rPr>
      </w:pPr>
      <w:r>
        <w:rPr>
          <w:rFonts w:hint="eastAsia" w:ascii="仿宋_GB2312" w:hAnsi="华文中宋" w:eastAsia="仿宋_GB2312"/>
          <w:sz w:val="24"/>
          <w:szCs w:val="24"/>
        </w:rPr>
        <w:t>培训地点：</w:t>
      </w:r>
      <w:r>
        <w:rPr>
          <w:rFonts w:hint="eastAsia" w:ascii="仿宋_GB2312" w:hAnsi="华文中宋" w:eastAsia="仿宋_GB2312"/>
          <w:sz w:val="24"/>
          <w:szCs w:val="24"/>
          <w:lang w:val="en-US" w:eastAsia="zh-CN"/>
        </w:rPr>
        <w:t>北京燕京饭店 红宝石厅</w:t>
      </w:r>
    </w:p>
    <w:tbl>
      <w:tblPr>
        <w:tblStyle w:val="5"/>
        <w:tblpPr w:leftFromText="180" w:rightFromText="180" w:vertAnchor="text" w:horzAnchor="page" w:tblpX="1822" w:tblpY="364"/>
        <w:tblOverlap w:val="never"/>
        <w:tblW w:w="483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8"/>
        <w:gridCol w:w="1558"/>
        <w:gridCol w:w="3512"/>
        <w:gridCol w:w="2136"/>
      </w:tblGrid>
      <w:tr w14:paraId="435F48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</w:trPr>
        <w:tc>
          <w:tcPr>
            <w:tcW w:w="753" w:type="pct"/>
            <w:tcBorders>
              <w:bottom w:val="single" w:color="auto" w:sz="4" w:space="0"/>
            </w:tcBorders>
            <w:shd w:val="clear" w:color="000000" w:fill="D0CECE"/>
            <w:vAlign w:val="center"/>
          </w:tcPr>
          <w:p w14:paraId="6D97D90E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8"/>
                <w:lang w:val="en-US" w:bidi="ar-SA"/>
              </w:rPr>
              <w:t>日期</w:t>
            </w:r>
          </w:p>
        </w:tc>
        <w:tc>
          <w:tcPr>
            <w:tcW w:w="918" w:type="pct"/>
            <w:tcBorders>
              <w:bottom w:val="single" w:color="auto" w:sz="4" w:space="0"/>
            </w:tcBorders>
            <w:shd w:val="clear" w:color="000000" w:fill="D0CECE"/>
            <w:vAlign w:val="center"/>
          </w:tcPr>
          <w:p w14:paraId="756ECF44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8"/>
                <w:lang w:val="en-US" w:bidi="ar-SA"/>
              </w:rPr>
              <w:t>时间</w:t>
            </w:r>
          </w:p>
        </w:tc>
        <w:tc>
          <w:tcPr>
            <w:tcW w:w="2069" w:type="pct"/>
            <w:tcBorders>
              <w:bottom w:val="single" w:color="auto" w:sz="4" w:space="0"/>
            </w:tcBorders>
            <w:shd w:val="clear" w:color="000000" w:fill="D0CECE"/>
            <w:vAlign w:val="center"/>
          </w:tcPr>
          <w:p w14:paraId="3712542C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8"/>
                <w:lang w:val="en-US" w:bidi="ar-SA"/>
              </w:rPr>
              <w:t>培训内容</w:t>
            </w:r>
          </w:p>
        </w:tc>
        <w:tc>
          <w:tcPr>
            <w:tcW w:w="1258" w:type="pct"/>
            <w:tcBorders>
              <w:bottom w:val="single" w:color="auto" w:sz="4" w:space="0"/>
            </w:tcBorders>
            <w:shd w:val="clear" w:color="000000" w:fill="D0CECE"/>
            <w:vAlign w:val="center"/>
          </w:tcPr>
          <w:p w14:paraId="5533E82F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4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8"/>
                <w:lang w:val="en-US" w:bidi="ar-SA"/>
              </w:rPr>
              <w:t>授课讲师</w:t>
            </w:r>
          </w:p>
        </w:tc>
      </w:tr>
      <w:tr w14:paraId="4932C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" w:hRule="atLeast"/>
        </w:trPr>
        <w:tc>
          <w:tcPr>
            <w:tcW w:w="753" w:type="pct"/>
            <w:vMerge w:val="restart"/>
            <w:shd w:val="clear" w:color="auto" w:fill="auto"/>
            <w:vAlign w:val="center"/>
          </w:tcPr>
          <w:p w14:paraId="63B8F794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  <w:t>12月3日</w:t>
            </w:r>
          </w:p>
          <w:p w14:paraId="1466D605">
            <w:pPr>
              <w:widowControl/>
              <w:autoSpaceDE/>
              <w:autoSpaceDN/>
              <w:jc w:val="center"/>
              <w:rPr>
                <w:rFonts w:hint="default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  <w:t>星期三</w:t>
            </w:r>
          </w:p>
        </w:tc>
        <w:tc>
          <w:tcPr>
            <w:tcW w:w="918" w:type="pct"/>
            <w:shd w:val="clear" w:color="auto" w:fill="auto"/>
            <w:vAlign w:val="center"/>
          </w:tcPr>
          <w:p w14:paraId="52612C38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2"/>
                <w:szCs w:val="22"/>
                <w:lang w:val="en-US" w:eastAsia="zh-CN" w:bidi="ar-SA"/>
              </w:rPr>
            </w:pPr>
            <w:r>
              <w:rPr>
                <w:rFonts w:ascii="仿宋_GB2312" w:hAnsi="Times New Roman" w:eastAsia="仿宋_GB2312" w:cs="Times New Roman"/>
                <w:lang w:val="en-US" w:bidi="ar-SA"/>
              </w:rPr>
              <w:t>9:00-10:00</w:t>
            </w:r>
          </w:p>
        </w:tc>
        <w:tc>
          <w:tcPr>
            <w:tcW w:w="2069" w:type="pct"/>
            <w:shd w:val="clear" w:color="auto" w:fill="auto"/>
            <w:vAlign w:val="center"/>
          </w:tcPr>
          <w:p w14:paraId="3E6B1009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行业研究入门——行研</w:t>
            </w:r>
            <w:r>
              <w:rPr>
                <w:rFonts w:hint="eastAsia" w:ascii="仿宋_GB2312" w:hAnsi="Times New Roman" w:eastAsia="仿宋_GB2312" w:cs="Times New Roman"/>
                <w:lang w:val="en-US" w:eastAsia="zh-CN" w:bidi="ar-SA"/>
              </w:rPr>
              <w:t>工作的总体范式</w:t>
            </w:r>
          </w:p>
        </w:tc>
        <w:tc>
          <w:tcPr>
            <w:tcW w:w="1258" w:type="pct"/>
            <w:vMerge w:val="restart"/>
            <w:shd w:val="clear" w:color="auto" w:fill="auto"/>
            <w:vAlign w:val="center"/>
          </w:tcPr>
          <w:p w14:paraId="72BFD780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Cs w:val="2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Cs w:val="28"/>
                <w:lang w:val="en-US" w:eastAsia="zh-CN" w:bidi="ar-SA"/>
              </w:rPr>
              <w:t>招商证券</w:t>
            </w:r>
          </w:p>
          <w:p w14:paraId="4668AB85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Cs w:val="2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Cs w:val="28"/>
                <w:lang w:val="en-US" w:eastAsia="zh-CN" w:bidi="ar-SA"/>
              </w:rPr>
              <w:t>研究发展中心</w:t>
            </w:r>
          </w:p>
          <w:p w14:paraId="4F9BB476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Cs w:val="2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Cs w:val="28"/>
                <w:lang w:val="en-US" w:eastAsia="zh-CN" w:bidi="ar-SA"/>
              </w:rPr>
              <w:t>董事总经理</w:t>
            </w:r>
          </w:p>
          <w:p w14:paraId="1D006100">
            <w:pPr>
              <w:jc w:val="center"/>
              <w:rPr>
                <w:rFonts w:ascii="仿宋_GB2312" w:hAnsi="Times New Roman" w:eastAsia="仿宋_GB2312" w:cs="Times New Roman"/>
                <w:color w:val="000000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szCs w:val="28"/>
                <w:lang w:val="en-US" w:eastAsia="zh-CN" w:bidi="ar-SA"/>
              </w:rPr>
              <w:t>朱卫华</w:t>
            </w:r>
          </w:p>
        </w:tc>
      </w:tr>
      <w:tr w14:paraId="00C6B2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atLeast"/>
        </w:trPr>
        <w:tc>
          <w:tcPr>
            <w:tcW w:w="753" w:type="pct"/>
            <w:vMerge w:val="continue"/>
            <w:shd w:val="clear" w:color="auto" w:fill="auto"/>
            <w:vAlign w:val="center"/>
          </w:tcPr>
          <w:p w14:paraId="31545D57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</w:pPr>
          </w:p>
        </w:tc>
        <w:tc>
          <w:tcPr>
            <w:tcW w:w="918" w:type="pct"/>
            <w:shd w:val="clear" w:color="auto" w:fill="auto"/>
            <w:vAlign w:val="center"/>
          </w:tcPr>
          <w:p w14:paraId="3C0A75CE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1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: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00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-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1</w:t>
            </w:r>
            <w:r>
              <w:rPr>
                <w:rFonts w:hint="eastAsia" w:ascii="仿宋_GB2312" w:hAnsi="Times New Roman" w:eastAsia="仿宋_GB2312" w:cs="Times New Roman"/>
                <w:lang w:val="en-US" w:eastAsia="zh-CN" w:bidi="ar-SA"/>
              </w:rPr>
              <w:t>1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:</w:t>
            </w:r>
            <w:r>
              <w:rPr>
                <w:rFonts w:hint="eastAsia" w:ascii="仿宋_GB2312" w:hAnsi="Times New Roman" w:eastAsia="仿宋_GB2312" w:cs="Times New Roman"/>
                <w:lang w:val="en-US" w:eastAsia="zh-CN" w:bidi="ar-SA"/>
              </w:rPr>
              <w:t>3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0</w:t>
            </w:r>
          </w:p>
        </w:tc>
        <w:tc>
          <w:tcPr>
            <w:tcW w:w="2069" w:type="pct"/>
            <w:shd w:val="clear" w:color="auto" w:fill="auto"/>
            <w:vAlign w:val="center"/>
          </w:tcPr>
          <w:p w14:paraId="35F5B6B9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行业研究入门——行业研究的主要任务</w:t>
            </w:r>
          </w:p>
        </w:tc>
        <w:tc>
          <w:tcPr>
            <w:tcW w:w="1258" w:type="pct"/>
            <w:vMerge w:val="continue"/>
            <w:shd w:val="clear" w:color="auto" w:fill="auto"/>
            <w:vAlign w:val="center"/>
          </w:tcPr>
          <w:p w14:paraId="569D0522">
            <w:pPr>
              <w:jc w:val="center"/>
              <w:rPr>
                <w:rFonts w:ascii="仿宋_GB2312" w:hAnsi="Times New Roman" w:eastAsia="仿宋_GB2312" w:cs="Times New Roman"/>
                <w:color w:val="000000"/>
                <w:szCs w:val="28"/>
                <w:lang w:val="en-US" w:bidi="ar-SA"/>
              </w:rPr>
            </w:pPr>
          </w:p>
        </w:tc>
      </w:tr>
      <w:tr w14:paraId="406D3B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753" w:type="pct"/>
            <w:vMerge w:val="continue"/>
            <w:shd w:val="clear" w:color="auto" w:fill="auto"/>
            <w:vAlign w:val="center"/>
          </w:tcPr>
          <w:p w14:paraId="4940A40D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</w:pPr>
          </w:p>
        </w:tc>
        <w:tc>
          <w:tcPr>
            <w:tcW w:w="918" w:type="pct"/>
            <w:shd w:val="clear" w:color="auto" w:fill="auto"/>
            <w:vAlign w:val="center"/>
          </w:tcPr>
          <w:p w14:paraId="43970698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1</w:t>
            </w:r>
            <w:r>
              <w:rPr>
                <w:rFonts w:hint="eastAsia" w:ascii="仿宋_GB2312" w:hAnsi="Times New Roman" w:eastAsia="仿宋_GB2312" w:cs="Times New Roman"/>
                <w:lang w:val="en-US" w:eastAsia="zh-CN" w:bidi="ar-SA"/>
              </w:rPr>
              <w:t>1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:</w:t>
            </w:r>
            <w:r>
              <w:rPr>
                <w:rFonts w:hint="eastAsia" w:ascii="仿宋_GB2312" w:hAnsi="Times New Roman" w:eastAsia="仿宋_GB2312" w:cs="Times New Roman"/>
                <w:lang w:val="en-US" w:eastAsia="zh-CN" w:bidi="ar-SA"/>
              </w:rPr>
              <w:t>3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-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1</w:t>
            </w:r>
            <w:r>
              <w:rPr>
                <w:rFonts w:hint="eastAsia" w:ascii="仿宋_GB2312" w:hAnsi="Times New Roman" w:eastAsia="仿宋_GB2312" w:cs="Times New Roman"/>
                <w:lang w:val="en-US" w:eastAsia="zh-CN" w:bidi="ar-SA"/>
              </w:rPr>
              <w:t>3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:</w:t>
            </w:r>
            <w:r>
              <w:rPr>
                <w:rFonts w:hint="eastAsia" w:ascii="仿宋_GB2312" w:hAnsi="Times New Roman" w:eastAsia="仿宋_GB2312" w:cs="Times New Roman"/>
                <w:lang w:val="en-US" w:eastAsia="zh-CN" w:bidi="ar-SA"/>
              </w:rPr>
              <w:t>3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0</w:t>
            </w:r>
          </w:p>
        </w:tc>
        <w:tc>
          <w:tcPr>
            <w:tcW w:w="2069" w:type="pct"/>
            <w:shd w:val="clear" w:color="auto" w:fill="auto"/>
            <w:vAlign w:val="center"/>
          </w:tcPr>
          <w:p w14:paraId="3592E72E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午餐</w:t>
            </w:r>
          </w:p>
        </w:tc>
        <w:tc>
          <w:tcPr>
            <w:tcW w:w="1258" w:type="pct"/>
            <w:vMerge w:val="continue"/>
            <w:shd w:val="clear" w:color="auto" w:fill="auto"/>
            <w:vAlign w:val="center"/>
          </w:tcPr>
          <w:p w14:paraId="56FD84D4">
            <w:pPr>
              <w:jc w:val="center"/>
              <w:rPr>
                <w:rFonts w:ascii="仿宋_GB2312" w:hAnsi="Times New Roman" w:eastAsia="仿宋_GB2312" w:cs="Times New Roman"/>
                <w:color w:val="000000"/>
                <w:szCs w:val="28"/>
                <w:lang w:val="en-US" w:bidi="ar-SA"/>
              </w:rPr>
            </w:pPr>
          </w:p>
        </w:tc>
      </w:tr>
      <w:tr w14:paraId="376C3D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753" w:type="pct"/>
            <w:vMerge w:val="continue"/>
            <w:shd w:val="clear" w:color="auto" w:fill="auto"/>
            <w:vAlign w:val="center"/>
          </w:tcPr>
          <w:p w14:paraId="15B03658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</w:pPr>
          </w:p>
        </w:tc>
        <w:tc>
          <w:tcPr>
            <w:tcW w:w="918" w:type="pct"/>
            <w:shd w:val="clear" w:color="auto" w:fill="auto"/>
            <w:vAlign w:val="center"/>
          </w:tcPr>
          <w:p w14:paraId="731D7103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1</w:t>
            </w:r>
            <w:r>
              <w:rPr>
                <w:rFonts w:hint="eastAsia" w:ascii="仿宋_GB2312" w:hAnsi="Times New Roman" w:eastAsia="仿宋_GB2312" w:cs="Times New Roman"/>
                <w:lang w:val="en-US" w:eastAsia="zh-CN" w:bidi="ar-SA"/>
              </w:rPr>
              <w:t>3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:</w:t>
            </w:r>
            <w:r>
              <w:rPr>
                <w:rFonts w:hint="eastAsia" w:ascii="仿宋_GB2312" w:hAnsi="Times New Roman" w:eastAsia="仿宋_GB2312" w:cs="Times New Roman"/>
                <w:lang w:val="en-US" w:eastAsia="zh-CN" w:bidi="ar-SA"/>
              </w:rPr>
              <w:t>30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-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1</w:t>
            </w:r>
            <w:r>
              <w:rPr>
                <w:rFonts w:hint="eastAsia" w:ascii="仿宋_GB2312" w:hAnsi="Times New Roman" w:eastAsia="仿宋_GB2312" w:cs="Times New Roman"/>
                <w:lang w:val="en-US" w:eastAsia="zh-CN" w:bidi="ar-SA"/>
              </w:rPr>
              <w:t>6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: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00</w:t>
            </w:r>
          </w:p>
        </w:tc>
        <w:tc>
          <w:tcPr>
            <w:tcW w:w="2069" w:type="pct"/>
            <w:shd w:val="clear" w:color="auto" w:fill="auto"/>
            <w:vAlign w:val="center"/>
          </w:tcPr>
          <w:p w14:paraId="54FA2012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行业研究入门——公司研究</w:t>
            </w:r>
          </w:p>
        </w:tc>
        <w:tc>
          <w:tcPr>
            <w:tcW w:w="1258" w:type="pct"/>
            <w:vMerge w:val="continue"/>
            <w:shd w:val="clear" w:color="auto" w:fill="auto"/>
            <w:vAlign w:val="center"/>
          </w:tcPr>
          <w:p w14:paraId="291FABBE">
            <w:pPr>
              <w:jc w:val="center"/>
              <w:rPr>
                <w:rFonts w:ascii="仿宋_GB2312" w:hAnsi="Times New Roman" w:eastAsia="仿宋_GB2312" w:cs="Times New Roman"/>
                <w:color w:val="000000"/>
                <w:szCs w:val="28"/>
                <w:lang w:val="en-US" w:bidi="ar-SA"/>
              </w:rPr>
            </w:pPr>
          </w:p>
        </w:tc>
      </w:tr>
      <w:tr w14:paraId="03E94B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753" w:type="pct"/>
            <w:vMerge w:val="continue"/>
            <w:shd w:val="clear" w:color="auto" w:fill="auto"/>
            <w:vAlign w:val="center"/>
          </w:tcPr>
          <w:p w14:paraId="5E8E614E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</w:pPr>
          </w:p>
        </w:tc>
        <w:tc>
          <w:tcPr>
            <w:tcW w:w="918" w:type="pct"/>
            <w:shd w:val="clear" w:color="auto" w:fill="auto"/>
            <w:vAlign w:val="center"/>
          </w:tcPr>
          <w:p w14:paraId="19D7E23C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1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6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: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0-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17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: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0</w:t>
            </w:r>
          </w:p>
        </w:tc>
        <w:tc>
          <w:tcPr>
            <w:tcW w:w="2069" w:type="pct"/>
            <w:shd w:val="clear" w:color="auto" w:fill="auto"/>
            <w:vAlign w:val="center"/>
          </w:tcPr>
          <w:p w14:paraId="1BD53226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行业研究入门——</w:t>
            </w:r>
            <w:r>
              <w:rPr>
                <w:rFonts w:hint="eastAsia" w:ascii="仿宋_GB2312" w:hAnsi="Times New Roman" w:eastAsia="仿宋_GB2312" w:cs="Times New Roman"/>
                <w:lang w:val="en-US" w:eastAsia="zh-CN" w:bidi="ar-SA"/>
              </w:rPr>
              <w:t>公司估值</w:t>
            </w:r>
          </w:p>
        </w:tc>
        <w:tc>
          <w:tcPr>
            <w:tcW w:w="1258" w:type="pct"/>
            <w:vMerge w:val="continue"/>
            <w:shd w:val="clear" w:color="auto" w:fill="auto"/>
            <w:vAlign w:val="center"/>
          </w:tcPr>
          <w:p w14:paraId="7FF5C7C0">
            <w:pPr>
              <w:jc w:val="center"/>
              <w:rPr>
                <w:rFonts w:ascii="仿宋_GB2312" w:hAnsi="Times New Roman" w:eastAsia="仿宋_GB2312" w:cs="Times New Roman"/>
                <w:color w:val="000000"/>
                <w:szCs w:val="28"/>
                <w:lang w:val="en-US" w:bidi="ar-SA"/>
              </w:rPr>
            </w:pPr>
          </w:p>
        </w:tc>
      </w:tr>
      <w:tr w14:paraId="0D804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753" w:type="pct"/>
            <w:vMerge w:val="restart"/>
            <w:shd w:val="clear" w:color="auto" w:fill="auto"/>
            <w:vAlign w:val="center"/>
          </w:tcPr>
          <w:p w14:paraId="397B0E71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  <w:t>12月4日</w:t>
            </w:r>
          </w:p>
          <w:p w14:paraId="4D9A46E7">
            <w:pPr>
              <w:widowControl/>
              <w:autoSpaceDE/>
              <w:autoSpaceDN/>
              <w:jc w:val="center"/>
              <w:rPr>
                <w:rFonts w:hint="default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  <w:t>星期四</w:t>
            </w:r>
          </w:p>
        </w:tc>
        <w:tc>
          <w:tcPr>
            <w:tcW w:w="918" w:type="pct"/>
            <w:shd w:val="clear" w:color="auto" w:fill="auto"/>
            <w:vAlign w:val="center"/>
          </w:tcPr>
          <w:p w14:paraId="40E5DBD1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eastAsia="zh-CN" w:bidi="ar-SA"/>
              </w:rPr>
              <w:t>9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:00-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12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: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0</w:t>
            </w:r>
          </w:p>
        </w:tc>
        <w:tc>
          <w:tcPr>
            <w:tcW w:w="2069" w:type="pct"/>
            <w:shd w:val="clear" w:color="auto" w:fill="auto"/>
            <w:vAlign w:val="center"/>
          </w:tcPr>
          <w:p w14:paraId="4D2EC7CD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宏观经济分析框架——中国宏观经济转型与分析框架演变</w:t>
            </w:r>
          </w:p>
        </w:tc>
        <w:tc>
          <w:tcPr>
            <w:tcW w:w="1258" w:type="pct"/>
            <w:vMerge w:val="restart"/>
            <w:shd w:val="clear" w:color="auto" w:fill="auto"/>
            <w:vAlign w:val="center"/>
          </w:tcPr>
          <w:p w14:paraId="16B3EC60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color w:val="000000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Cs w:val="28"/>
                <w:lang w:val="en-US" w:bidi="ar-SA"/>
              </w:rPr>
              <w:t>首创证券</w:t>
            </w:r>
          </w:p>
          <w:p w14:paraId="0F7FDDBE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color w:val="000000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Cs w:val="28"/>
                <w:lang w:val="en-US" w:bidi="ar-SA"/>
              </w:rPr>
              <w:t>首席经济学家</w:t>
            </w:r>
          </w:p>
          <w:p w14:paraId="0C7206EC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color w:val="000000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Cs w:val="28"/>
                <w:lang w:val="en-US" w:bidi="ar-SA"/>
              </w:rPr>
              <w:t>韦志超</w:t>
            </w:r>
          </w:p>
        </w:tc>
      </w:tr>
      <w:tr w14:paraId="055C70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753" w:type="pct"/>
            <w:vMerge w:val="continue"/>
            <w:vAlign w:val="center"/>
          </w:tcPr>
          <w:p w14:paraId="0D112044">
            <w:pPr>
              <w:widowControl/>
              <w:autoSpaceDE/>
              <w:autoSpaceDN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</w:p>
        </w:tc>
        <w:tc>
          <w:tcPr>
            <w:tcW w:w="918" w:type="pct"/>
            <w:shd w:val="clear" w:color="auto" w:fill="auto"/>
            <w:vAlign w:val="center"/>
          </w:tcPr>
          <w:p w14:paraId="650F841A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1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2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-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14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0</w:t>
            </w:r>
          </w:p>
        </w:tc>
        <w:tc>
          <w:tcPr>
            <w:tcW w:w="2069" w:type="pct"/>
            <w:shd w:val="clear" w:color="auto" w:fill="auto"/>
            <w:vAlign w:val="center"/>
          </w:tcPr>
          <w:p w14:paraId="1F4BCA84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午餐</w:t>
            </w:r>
          </w:p>
        </w:tc>
        <w:tc>
          <w:tcPr>
            <w:tcW w:w="1258" w:type="pct"/>
            <w:vMerge w:val="continue"/>
            <w:shd w:val="clear" w:color="auto" w:fill="auto"/>
            <w:vAlign w:val="center"/>
          </w:tcPr>
          <w:p w14:paraId="39A4E11A">
            <w:pPr>
              <w:jc w:val="center"/>
              <w:rPr>
                <w:rFonts w:ascii="仿宋_GB2312" w:hAnsi="Times New Roman" w:eastAsia="仿宋_GB2312" w:cs="Times New Roman"/>
                <w:szCs w:val="28"/>
                <w:lang w:val="en-US" w:bidi="ar-SA"/>
              </w:rPr>
            </w:pPr>
          </w:p>
        </w:tc>
      </w:tr>
      <w:tr w14:paraId="134067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753" w:type="pct"/>
            <w:vMerge w:val="continue"/>
            <w:shd w:val="clear" w:color="auto" w:fill="auto"/>
            <w:vAlign w:val="center"/>
          </w:tcPr>
          <w:p w14:paraId="27CE4289">
            <w:pPr>
              <w:widowControl/>
              <w:jc w:val="center"/>
              <w:rPr>
                <w:rFonts w:ascii="仿宋_GB2312" w:hAnsi="Times New Roman" w:eastAsia="仿宋_GB2312"/>
                <w:szCs w:val="28"/>
              </w:rPr>
            </w:pPr>
          </w:p>
        </w:tc>
        <w:tc>
          <w:tcPr>
            <w:tcW w:w="918" w:type="pct"/>
            <w:shd w:val="clear" w:color="auto" w:fill="auto"/>
            <w:vAlign w:val="center"/>
          </w:tcPr>
          <w:p w14:paraId="2EDB3C98">
            <w:pPr>
              <w:widowControl/>
              <w:jc w:val="center"/>
              <w:rPr>
                <w:rFonts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1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5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-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1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  <w:t>7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  <w:t>0</w:t>
            </w:r>
          </w:p>
        </w:tc>
        <w:tc>
          <w:tcPr>
            <w:tcW w:w="2069" w:type="pct"/>
            <w:shd w:val="clear" w:color="auto" w:fill="auto"/>
            <w:vAlign w:val="center"/>
          </w:tcPr>
          <w:p w14:paraId="2BB04DE4">
            <w:pPr>
              <w:widowControl/>
              <w:jc w:val="center"/>
              <w:rPr>
                <w:rFonts w:ascii="仿宋_GB2312" w:hAnsi="Times New Roman" w:eastAsia="仿宋_GB2312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宏观经济分析框架——周期理论与资本市场</w:t>
            </w:r>
          </w:p>
        </w:tc>
        <w:tc>
          <w:tcPr>
            <w:tcW w:w="1258" w:type="pct"/>
            <w:vMerge w:val="continue"/>
            <w:shd w:val="clear" w:color="auto" w:fill="auto"/>
            <w:vAlign w:val="center"/>
          </w:tcPr>
          <w:p w14:paraId="412DC08B">
            <w:pPr>
              <w:widowControl/>
              <w:jc w:val="center"/>
              <w:rPr>
                <w:rFonts w:ascii="仿宋_GB2312" w:hAnsi="Times New Roman" w:eastAsia="仿宋_GB2312"/>
                <w:szCs w:val="28"/>
              </w:rPr>
            </w:pPr>
          </w:p>
        </w:tc>
      </w:tr>
      <w:tr w14:paraId="47A39F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753" w:type="pct"/>
            <w:vMerge w:val="restart"/>
            <w:shd w:val="clear" w:color="auto" w:fill="auto"/>
            <w:vAlign w:val="center"/>
          </w:tcPr>
          <w:p w14:paraId="28CD36D0">
            <w:pPr>
              <w:widowControl/>
              <w:autoSpaceDE/>
              <w:autoSpaceDN/>
              <w:jc w:val="center"/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  <w:t>12月5日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br w:type="textWrapping"/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bidi="ar-SA"/>
              </w:rPr>
              <w:t>星期</w:t>
            </w:r>
            <w:r>
              <w:rPr>
                <w:rFonts w:hint="eastAsia" w:ascii="仿宋_GB2312" w:hAnsi="Times New Roman" w:eastAsia="仿宋_GB2312" w:cs="Times New Roman"/>
                <w:sz w:val="21"/>
                <w:szCs w:val="28"/>
                <w:lang w:val="en-US" w:eastAsia="zh-CN" w:bidi="ar-SA"/>
              </w:rPr>
              <w:t>五</w:t>
            </w:r>
          </w:p>
        </w:tc>
        <w:tc>
          <w:tcPr>
            <w:tcW w:w="918" w:type="pct"/>
            <w:shd w:val="clear" w:color="auto" w:fill="auto"/>
            <w:vAlign w:val="center"/>
          </w:tcPr>
          <w:p w14:paraId="63BC9E74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9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:00-12:00</w:t>
            </w:r>
          </w:p>
        </w:tc>
        <w:tc>
          <w:tcPr>
            <w:tcW w:w="2069" w:type="pct"/>
            <w:shd w:val="clear" w:color="auto" w:fill="auto"/>
            <w:vAlign w:val="center"/>
          </w:tcPr>
          <w:p w14:paraId="5617C0A0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宏观经济分析框架——宏观经济和政策分析实践</w:t>
            </w:r>
          </w:p>
        </w:tc>
        <w:tc>
          <w:tcPr>
            <w:tcW w:w="1258" w:type="pct"/>
            <w:vMerge w:val="restart"/>
            <w:shd w:val="clear" w:color="auto" w:fill="auto"/>
            <w:vAlign w:val="center"/>
          </w:tcPr>
          <w:p w14:paraId="684596F6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color w:val="000000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Cs w:val="28"/>
                <w:lang w:val="en-US" w:bidi="ar-SA"/>
              </w:rPr>
              <w:t>首创证券</w:t>
            </w:r>
          </w:p>
          <w:p w14:paraId="50BD373B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color w:val="000000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Cs w:val="28"/>
                <w:lang w:val="en-US" w:bidi="ar-SA"/>
              </w:rPr>
              <w:t>首席经济学家</w:t>
            </w:r>
          </w:p>
          <w:p w14:paraId="05FCA070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color w:val="000000"/>
                <w:szCs w:val="28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Cs w:val="28"/>
                <w:lang w:val="en-US" w:bidi="ar-SA"/>
              </w:rPr>
              <w:t>韦志超</w:t>
            </w:r>
          </w:p>
        </w:tc>
      </w:tr>
      <w:tr w14:paraId="3B94F6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753" w:type="pct"/>
            <w:vMerge w:val="continue"/>
            <w:shd w:val="clear" w:color="auto" w:fill="auto"/>
            <w:vAlign w:val="center"/>
          </w:tcPr>
          <w:p w14:paraId="6B2C231C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</w:p>
        </w:tc>
        <w:tc>
          <w:tcPr>
            <w:tcW w:w="918" w:type="pct"/>
            <w:shd w:val="clear" w:color="auto" w:fill="auto"/>
            <w:vAlign w:val="center"/>
          </w:tcPr>
          <w:p w14:paraId="174BC8EF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ascii="仿宋_GB2312" w:hAnsi="Times New Roman" w:eastAsia="仿宋_GB2312" w:cs="Times New Roman"/>
                <w:lang w:val="en-US" w:bidi="ar-SA"/>
              </w:rPr>
              <w:t>12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-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14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0</w:t>
            </w:r>
          </w:p>
        </w:tc>
        <w:tc>
          <w:tcPr>
            <w:tcW w:w="2069" w:type="pct"/>
            <w:shd w:val="clear" w:color="auto" w:fill="auto"/>
            <w:vAlign w:val="center"/>
          </w:tcPr>
          <w:p w14:paraId="516831B2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午餐</w:t>
            </w:r>
          </w:p>
        </w:tc>
        <w:tc>
          <w:tcPr>
            <w:tcW w:w="1258" w:type="pct"/>
            <w:vMerge w:val="continue"/>
            <w:shd w:val="clear" w:color="auto" w:fill="auto"/>
            <w:vAlign w:val="center"/>
          </w:tcPr>
          <w:p w14:paraId="25474E56">
            <w:pPr>
              <w:jc w:val="center"/>
              <w:rPr>
                <w:rFonts w:ascii="仿宋_GB2312" w:hAnsi="Times New Roman" w:eastAsia="仿宋_GB2312" w:cs="Times New Roman"/>
                <w:szCs w:val="28"/>
                <w:lang w:val="en-US" w:bidi="ar-SA"/>
              </w:rPr>
            </w:pPr>
          </w:p>
        </w:tc>
      </w:tr>
      <w:tr w14:paraId="451035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753" w:type="pct"/>
            <w:vMerge w:val="continue"/>
            <w:shd w:val="clear" w:color="auto" w:fill="auto"/>
            <w:vAlign w:val="center"/>
          </w:tcPr>
          <w:p w14:paraId="5CBFCFB4">
            <w:pPr>
              <w:widowControl/>
              <w:autoSpaceDE/>
              <w:autoSpaceDN/>
              <w:rPr>
                <w:rFonts w:ascii="仿宋_GB2312" w:hAnsi="Times New Roman" w:eastAsia="仿宋_GB2312" w:cs="Times New Roman"/>
                <w:sz w:val="21"/>
                <w:szCs w:val="28"/>
                <w:lang w:val="en-US" w:bidi="ar-SA"/>
              </w:rPr>
            </w:pPr>
          </w:p>
        </w:tc>
        <w:tc>
          <w:tcPr>
            <w:tcW w:w="918" w:type="pct"/>
            <w:shd w:val="clear" w:color="auto" w:fill="auto"/>
            <w:vAlign w:val="center"/>
          </w:tcPr>
          <w:p w14:paraId="45900721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1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4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0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-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17</w:t>
            </w: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:0</w:t>
            </w:r>
            <w:r>
              <w:rPr>
                <w:rFonts w:ascii="仿宋_GB2312" w:hAnsi="Times New Roman" w:eastAsia="仿宋_GB2312" w:cs="Times New Roman"/>
                <w:lang w:val="en-US" w:bidi="ar-SA"/>
              </w:rPr>
              <w:t>0</w:t>
            </w:r>
          </w:p>
        </w:tc>
        <w:tc>
          <w:tcPr>
            <w:tcW w:w="2069" w:type="pct"/>
            <w:shd w:val="clear" w:color="auto" w:fill="auto"/>
            <w:vAlign w:val="center"/>
          </w:tcPr>
          <w:p w14:paraId="416E558E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lang w:val="en-US" w:bidi="ar-SA"/>
              </w:rPr>
            </w:pPr>
            <w:r>
              <w:rPr>
                <w:rFonts w:hint="eastAsia" w:ascii="仿宋_GB2312" w:hAnsi="Times New Roman" w:eastAsia="仿宋_GB2312" w:cs="Times New Roman"/>
                <w:lang w:val="en-US" w:bidi="ar-SA"/>
              </w:rPr>
              <w:t>宏观经济分析框架——开放视角下的中国宏观经济</w:t>
            </w:r>
          </w:p>
        </w:tc>
        <w:tc>
          <w:tcPr>
            <w:tcW w:w="1258" w:type="pct"/>
            <w:vMerge w:val="continue"/>
            <w:shd w:val="clear" w:color="auto" w:fill="auto"/>
            <w:vAlign w:val="center"/>
          </w:tcPr>
          <w:p w14:paraId="40D4F6E3">
            <w:pPr>
              <w:widowControl/>
              <w:autoSpaceDE/>
              <w:autoSpaceDN/>
              <w:jc w:val="center"/>
              <w:rPr>
                <w:rFonts w:ascii="仿宋_GB2312" w:hAnsi="Times New Roman" w:eastAsia="仿宋_GB2312" w:cs="Times New Roman"/>
                <w:szCs w:val="28"/>
                <w:lang w:val="en-US" w:bidi="ar-SA"/>
              </w:rPr>
            </w:pPr>
          </w:p>
        </w:tc>
      </w:tr>
    </w:tbl>
    <w:p w14:paraId="66772281">
      <w:pPr>
        <w:rPr>
          <w:rFonts w:hint="eastAsia"/>
          <w:lang w:val="en-US"/>
        </w:rPr>
      </w:pPr>
    </w:p>
    <w:p w14:paraId="09F4BEAC">
      <w:pPr>
        <w:rPr>
          <w:rFonts w:hint="eastAsia"/>
          <w:lang w:val="en-US"/>
        </w:rPr>
      </w:pPr>
    </w:p>
    <w:p w14:paraId="759D3260">
      <w:pPr>
        <w:rPr>
          <w:rFonts w:hint="eastAsia"/>
          <w:lang w:val="en-US"/>
        </w:rPr>
      </w:pPr>
    </w:p>
    <w:p w14:paraId="745F31AF">
      <w:pPr>
        <w:rPr>
          <w:rFonts w:hint="eastAsia"/>
          <w:lang w:val="en-US"/>
        </w:rPr>
      </w:pPr>
    </w:p>
    <w:p w14:paraId="51A5515A">
      <w:pPr>
        <w:rPr>
          <w:rFonts w:hint="eastAsia"/>
          <w:lang w:val="en-US"/>
        </w:rPr>
      </w:pPr>
    </w:p>
    <w:p w14:paraId="3B27BE56">
      <w:pPr>
        <w:rPr>
          <w:rFonts w:hint="eastAsia"/>
          <w:lang w:val="en-US"/>
        </w:rPr>
      </w:pPr>
    </w:p>
    <w:sectPr>
      <w:type w:val="continuous"/>
      <w:pgSz w:w="11910" w:h="16840"/>
      <w:pgMar w:top="1500" w:right="1680" w:bottom="280" w:left="168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bordersDoNotSurroundHeader w:val="1"/>
  <w:bordersDoNotSurroundFooter w:val="1"/>
  <w:documentProtection w:edit="trackedChanges" w:enforcement="0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WM2M2Q3MzJiN2FlMGRiZWMyNzRjYzdjYWFjM2E3NjIifQ=="/>
  </w:docVars>
  <w:rsids>
    <w:rsidRoot w:val="00E42112"/>
    <w:rsid w:val="00017162"/>
    <w:rsid w:val="0001790D"/>
    <w:rsid w:val="000277D9"/>
    <w:rsid w:val="00033E03"/>
    <w:rsid w:val="00046997"/>
    <w:rsid w:val="000556B7"/>
    <w:rsid w:val="000739BB"/>
    <w:rsid w:val="00084368"/>
    <w:rsid w:val="000B6769"/>
    <w:rsid w:val="000E498E"/>
    <w:rsid w:val="001312B3"/>
    <w:rsid w:val="00133D86"/>
    <w:rsid w:val="00141C29"/>
    <w:rsid w:val="0018018B"/>
    <w:rsid w:val="001836F8"/>
    <w:rsid w:val="0019422B"/>
    <w:rsid w:val="0019598A"/>
    <w:rsid w:val="001B57F9"/>
    <w:rsid w:val="001C1523"/>
    <w:rsid w:val="001D2F66"/>
    <w:rsid w:val="001D6404"/>
    <w:rsid w:val="00246B01"/>
    <w:rsid w:val="00257AC4"/>
    <w:rsid w:val="00270D79"/>
    <w:rsid w:val="002754C1"/>
    <w:rsid w:val="002C78D1"/>
    <w:rsid w:val="002D6013"/>
    <w:rsid w:val="002F1FA4"/>
    <w:rsid w:val="003415C4"/>
    <w:rsid w:val="00347A2B"/>
    <w:rsid w:val="00366907"/>
    <w:rsid w:val="00370157"/>
    <w:rsid w:val="00385B62"/>
    <w:rsid w:val="003955EA"/>
    <w:rsid w:val="003D5FF0"/>
    <w:rsid w:val="003E05B8"/>
    <w:rsid w:val="003F32B3"/>
    <w:rsid w:val="00412552"/>
    <w:rsid w:val="00423549"/>
    <w:rsid w:val="00486844"/>
    <w:rsid w:val="004955D1"/>
    <w:rsid w:val="004A2BD0"/>
    <w:rsid w:val="004D5EE5"/>
    <w:rsid w:val="004F10C6"/>
    <w:rsid w:val="0055188D"/>
    <w:rsid w:val="005F7BB2"/>
    <w:rsid w:val="00617FD9"/>
    <w:rsid w:val="006247AD"/>
    <w:rsid w:val="00660319"/>
    <w:rsid w:val="00661249"/>
    <w:rsid w:val="006632F3"/>
    <w:rsid w:val="00670FEF"/>
    <w:rsid w:val="00672D69"/>
    <w:rsid w:val="00685620"/>
    <w:rsid w:val="006A68EB"/>
    <w:rsid w:val="006C12A2"/>
    <w:rsid w:val="006D72C6"/>
    <w:rsid w:val="00732F5B"/>
    <w:rsid w:val="0073540E"/>
    <w:rsid w:val="0076430F"/>
    <w:rsid w:val="007A7402"/>
    <w:rsid w:val="007D1956"/>
    <w:rsid w:val="007D348A"/>
    <w:rsid w:val="00823D76"/>
    <w:rsid w:val="00831171"/>
    <w:rsid w:val="008366C2"/>
    <w:rsid w:val="00845C76"/>
    <w:rsid w:val="008B1EAA"/>
    <w:rsid w:val="00936C5E"/>
    <w:rsid w:val="00951A61"/>
    <w:rsid w:val="00955633"/>
    <w:rsid w:val="00997B86"/>
    <w:rsid w:val="009C7C42"/>
    <w:rsid w:val="009D36A5"/>
    <w:rsid w:val="009E2B24"/>
    <w:rsid w:val="009E4DBE"/>
    <w:rsid w:val="00A33651"/>
    <w:rsid w:val="00A44B55"/>
    <w:rsid w:val="00A71836"/>
    <w:rsid w:val="00A759CA"/>
    <w:rsid w:val="00AB00B7"/>
    <w:rsid w:val="00AD191F"/>
    <w:rsid w:val="00AE03DA"/>
    <w:rsid w:val="00AF1CB1"/>
    <w:rsid w:val="00B14635"/>
    <w:rsid w:val="00B450D5"/>
    <w:rsid w:val="00BA0DF5"/>
    <w:rsid w:val="00BB2BE6"/>
    <w:rsid w:val="00BD2E40"/>
    <w:rsid w:val="00BE3DE9"/>
    <w:rsid w:val="00BE590E"/>
    <w:rsid w:val="00C04D04"/>
    <w:rsid w:val="00C04D77"/>
    <w:rsid w:val="00C07B61"/>
    <w:rsid w:val="00C1380A"/>
    <w:rsid w:val="00C17E5D"/>
    <w:rsid w:val="00C20D55"/>
    <w:rsid w:val="00C32A51"/>
    <w:rsid w:val="00CA56CC"/>
    <w:rsid w:val="00CB5D31"/>
    <w:rsid w:val="00CC39AB"/>
    <w:rsid w:val="00D0432F"/>
    <w:rsid w:val="00D57FAA"/>
    <w:rsid w:val="00D61A25"/>
    <w:rsid w:val="00D85A2F"/>
    <w:rsid w:val="00D91F42"/>
    <w:rsid w:val="00DC461E"/>
    <w:rsid w:val="00DE62DE"/>
    <w:rsid w:val="00DF4108"/>
    <w:rsid w:val="00DF6703"/>
    <w:rsid w:val="00DF74C3"/>
    <w:rsid w:val="00E019E0"/>
    <w:rsid w:val="00E06ACD"/>
    <w:rsid w:val="00E14B2B"/>
    <w:rsid w:val="00E42112"/>
    <w:rsid w:val="00EA4FFA"/>
    <w:rsid w:val="00F30C62"/>
    <w:rsid w:val="00F35A62"/>
    <w:rsid w:val="00F665C4"/>
    <w:rsid w:val="00F813AA"/>
    <w:rsid w:val="00F9642B"/>
    <w:rsid w:val="00F97EB2"/>
    <w:rsid w:val="00FC6582"/>
    <w:rsid w:val="00FF56F9"/>
    <w:rsid w:val="00FF6D17"/>
    <w:rsid w:val="0E044A8C"/>
    <w:rsid w:val="109826F9"/>
    <w:rsid w:val="1118090F"/>
    <w:rsid w:val="13FA068E"/>
    <w:rsid w:val="15543BAD"/>
    <w:rsid w:val="15E16219"/>
    <w:rsid w:val="1EF76B47"/>
    <w:rsid w:val="28E2419E"/>
    <w:rsid w:val="2BFC14B8"/>
    <w:rsid w:val="2C9A4365"/>
    <w:rsid w:val="2DB269A2"/>
    <w:rsid w:val="2F183841"/>
    <w:rsid w:val="36890A9A"/>
    <w:rsid w:val="3813477F"/>
    <w:rsid w:val="40E411B1"/>
    <w:rsid w:val="436D47A0"/>
    <w:rsid w:val="43981400"/>
    <w:rsid w:val="44EB3558"/>
    <w:rsid w:val="485B37B2"/>
    <w:rsid w:val="48EE669A"/>
    <w:rsid w:val="491C4FAB"/>
    <w:rsid w:val="4DDB7C88"/>
    <w:rsid w:val="53017C2B"/>
    <w:rsid w:val="593D15AA"/>
    <w:rsid w:val="62F1262B"/>
    <w:rsid w:val="6A3F7D1E"/>
    <w:rsid w:val="71BC0DA4"/>
    <w:rsid w:val="7DAF1F96"/>
    <w:rsid w:val="7DEB5BF6"/>
    <w:rsid w:val="D5FFF931"/>
    <w:rsid w:val="DE7D3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微软雅黑" w:hAnsi="微软雅黑" w:eastAsia="微软雅黑" w:cs="微软雅黑"/>
      <w:sz w:val="22"/>
      <w:szCs w:val="22"/>
      <w:lang w:val="zh-CN" w:eastAsia="zh-CN" w:bidi="zh-CN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sz w:val="24"/>
      <w:szCs w:val="24"/>
    </w:r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rPr>
      <w:kern w:val="2"/>
      <w:sz w:val="21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8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9">
    <w:name w:val="List Paragraph"/>
    <w:basedOn w:val="1"/>
    <w:qFormat/>
    <w:uiPriority w:val="1"/>
  </w:style>
  <w:style w:type="paragraph" w:customStyle="1" w:styleId="10">
    <w:name w:val="Table Paragraph"/>
    <w:basedOn w:val="1"/>
    <w:qFormat/>
    <w:uiPriority w:val="1"/>
    <w:pPr>
      <w:spacing w:before="118"/>
      <w:jc w:val="center"/>
    </w:pPr>
  </w:style>
  <w:style w:type="character" w:customStyle="1" w:styleId="11">
    <w:name w:val="页眉 字符"/>
    <w:basedOn w:val="7"/>
    <w:link w:val="4"/>
    <w:qFormat/>
    <w:uiPriority w:val="99"/>
    <w:rPr>
      <w:rFonts w:ascii="微软雅黑" w:hAnsi="微软雅黑" w:eastAsia="微软雅黑" w:cs="微软雅黑"/>
      <w:sz w:val="18"/>
      <w:szCs w:val="18"/>
      <w:lang w:val="zh-CN" w:eastAsia="zh-CN" w:bidi="zh-CN"/>
    </w:rPr>
  </w:style>
  <w:style w:type="character" w:customStyle="1" w:styleId="12">
    <w:name w:val="页脚 字符"/>
    <w:basedOn w:val="7"/>
    <w:link w:val="3"/>
    <w:qFormat/>
    <w:uiPriority w:val="99"/>
    <w:rPr>
      <w:rFonts w:ascii="微软雅黑" w:hAnsi="微软雅黑" w:eastAsia="微软雅黑" w:cs="微软雅黑"/>
      <w:sz w:val="18"/>
      <w:szCs w:val="18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264</Words>
  <Characters>374</Characters>
  <Lines>3</Lines>
  <Paragraphs>1</Paragraphs>
  <TotalTime>0</TotalTime>
  <ScaleCrop>false</ScaleCrop>
  <LinksUpToDate>false</LinksUpToDate>
  <CharactersWithSpaces>375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2023-08-15T07:57:00Z</dcterms:created>
  <dc:creator>留 舍</dc:creator>
  <cp:lastModifiedBy>guoyx</cp:lastModifiedBy>
  <dcterms:modified xsi:type="dcterms:W3CDTF">2025-11-12T02:14:45Z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2019-04-26T00:00:00Z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2019-05-06T00:00:00Z</vt:filetime>
  </property>
  <property fmtid="{D5CDD505-2E9C-101B-9397-08002B2CF9AE}" pid="5" name="KSOProductBuildVer">
    <vt:lpwstr>2052-12.1.0.22529</vt:lpwstr>
  </property>
  <property fmtid="{D5CDD505-2E9C-101B-9397-08002B2CF9AE}" pid="6" name="ICV">
    <vt:lpwstr>9FDCCBE1B5B14530B1A2E481E45F4226_12</vt:lpwstr>
  </property>
  <property fmtid="{D5CDD505-2E9C-101B-9397-08002B2CF9AE}" pid="7" name="KSOTemplateDocerSaveRecord">
    <vt:lpwstr>eyJoZGlkIjoiMzEwNTM5NzYwMDRjMzkwZTVkZjY2ODkwMGIxNGU0OTUiLCJ1c2VySWQiOiI1NjUwMzk2NzcifQ==</vt:lpwstr>
  </property>
</Properties>
</file>